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08481633"/>
        <w:docPartObj>
          <w:docPartGallery w:val="Cover Pages"/>
          <w:docPartUnique/>
        </w:docPartObj>
      </w:sdtPr>
      <w:sdtEndPr/>
      <w:sdtContent>
        <w:p w:rsidR="007D5E38" w:rsidRDefault="007D5E38" w:rsidP="004655A7">
          <w:pPr>
            <w:spacing w:after="0" w:line="360" w:lineRule="auto"/>
          </w:pPr>
        </w:p>
        <w:p w:rsidR="007D5E38" w:rsidRDefault="007D5E38" w:rsidP="004655A7">
          <w:pPr>
            <w:spacing w:after="0" w:line="360" w:lineRule="auto"/>
          </w:pPr>
        </w:p>
        <w:p w:rsidR="007D5E38" w:rsidRDefault="007D5E38" w:rsidP="004655A7">
          <w:pPr>
            <w:spacing w:after="0" w:line="360" w:lineRule="auto"/>
          </w:pPr>
        </w:p>
        <w:p w:rsidR="007D5E38" w:rsidRDefault="007D5E38" w:rsidP="004655A7">
          <w:pPr>
            <w:spacing w:after="0" w:line="360" w:lineRule="auto"/>
          </w:pPr>
        </w:p>
        <w:p w:rsidR="007D5E38" w:rsidRDefault="007D5E38" w:rsidP="004655A7">
          <w:pPr>
            <w:spacing w:after="0" w:line="360" w:lineRule="auto"/>
          </w:pPr>
        </w:p>
        <w:p w:rsidR="007D5E38" w:rsidRDefault="007D5E38" w:rsidP="004655A7">
          <w:pPr>
            <w:spacing w:after="0" w:line="360" w:lineRule="auto"/>
          </w:pPr>
        </w:p>
        <w:p w:rsidR="007D5E38" w:rsidRDefault="007D5E38" w:rsidP="004655A7">
          <w:pPr>
            <w:spacing w:after="0" w:line="360" w:lineRule="auto"/>
          </w:pPr>
        </w:p>
        <w:p w:rsidR="007D5E38" w:rsidRDefault="007D5E38" w:rsidP="004655A7">
          <w:pPr>
            <w:spacing w:after="0" w:line="360" w:lineRule="auto"/>
          </w:pPr>
        </w:p>
        <w:p w:rsidR="007D5E38" w:rsidRDefault="007D5E38" w:rsidP="004655A7">
          <w:pPr>
            <w:spacing w:after="0" w:line="360" w:lineRule="auto"/>
          </w:pPr>
        </w:p>
        <w:p w:rsidR="007D5E38" w:rsidRDefault="007D5E38" w:rsidP="004655A7">
          <w:pPr>
            <w:spacing w:after="0" w:line="360" w:lineRule="auto"/>
          </w:pPr>
        </w:p>
        <w:p w:rsidR="007D5E38" w:rsidRDefault="007D5E38" w:rsidP="004655A7">
          <w:pPr>
            <w:spacing w:after="0" w:line="360" w:lineRule="auto"/>
          </w:pPr>
        </w:p>
        <w:p w:rsidR="007D5E38" w:rsidRDefault="007D5E38" w:rsidP="004655A7">
          <w:pPr>
            <w:spacing w:after="0" w:line="360" w:lineRule="auto"/>
          </w:pPr>
        </w:p>
        <w:p w:rsidR="007D5E38" w:rsidRDefault="007D5E38" w:rsidP="004655A7">
          <w:pPr>
            <w:spacing w:after="0" w:line="360" w:lineRule="auto"/>
          </w:pPr>
        </w:p>
        <w:p w:rsidR="007D5E38" w:rsidRDefault="007D5E38" w:rsidP="004655A7">
          <w:pPr>
            <w:spacing w:after="0" w:line="360" w:lineRule="auto"/>
          </w:pPr>
        </w:p>
        <w:p w:rsidR="002138B8" w:rsidRDefault="002138B8" w:rsidP="004655A7">
          <w:pPr>
            <w:spacing w:after="0" w:line="360" w:lineRule="auto"/>
          </w:pPr>
          <w:r>
            <w:rPr>
              <w:noProof/>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2138B8" w:rsidRPr="008146CD">
                                  <w:trPr>
                                    <w:jc w:val="center"/>
                                  </w:trPr>
                                  <w:tc>
                                    <w:tcPr>
                                      <w:tcW w:w="2568" w:type="pct"/>
                                      <w:vAlign w:val="center"/>
                                    </w:tcPr>
                                    <w:sdt>
                                      <w:sdtPr>
                                        <w:rPr>
                                          <w:rFonts w:asciiTheme="majorHAnsi" w:hAnsiTheme="majorHAnsi"/>
                                          <w:color w:val="191919" w:themeColor="text1" w:themeTint="E6"/>
                                          <w:sz w:val="72"/>
                                          <w:szCs w:val="72"/>
                                          <w:lang w:val="en-GB"/>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2138B8" w:rsidRPr="008146CD" w:rsidRDefault="00B85885" w:rsidP="00621625">
                                          <w:pPr>
                                            <w:pStyle w:val="NoSpacing"/>
                                            <w:spacing w:line="264" w:lineRule="auto"/>
                                            <w:jc w:val="right"/>
                                            <w:rPr>
                                              <w:rFonts w:asciiTheme="majorHAnsi" w:hAnsiTheme="majorHAnsi"/>
                                              <w:caps/>
                                              <w:color w:val="191919" w:themeColor="text1" w:themeTint="E6"/>
                                              <w:sz w:val="72"/>
                                              <w:szCs w:val="72"/>
                                              <w:lang w:val="en-GB"/>
                                            </w:rPr>
                                          </w:pPr>
                                          <w:r>
                                            <w:rPr>
                                              <w:rFonts w:asciiTheme="majorHAnsi" w:hAnsiTheme="majorHAnsi"/>
                                              <w:color w:val="191919" w:themeColor="text1" w:themeTint="E6"/>
                                              <w:sz w:val="72"/>
                                              <w:szCs w:val="72"/>
                                              <w:lang w:val="en-GB"/>
                                            </w:rPr>
                                            <w:t>Financial</w:t>
                                          </w:r>
                                          <w:r w:rsidR="000E6658" w:rsidRPr="008146CD">
                                            <w:rPr>
                                              <w:rFonts w:asciiTheme="majorHAnsi" w:hAnsiTheme="majorHAnsi"/>
                                              <w:color w:val="191919" w:themeColor="text1" w:themeTint="E6"/>
                                              <w:sz w:val="72"/>
                                              <w:szCs w:val="72"/>
                                              <w:lang w:val="en-GB"/>
                                            </w:rPr>
                                            <w:t xml:space="preserve"> </w:t>
                                          </w:r>
                                          <w:r w:rsidR="00153985" w:rsidRPr="008146CD">
                                            <w:rPr>
                                              <w:rFonts w:asciiTheme="majorHAnsi" w:hAnsiTheme="majorHAnsi"/>
                                              <w:color w:val="191919" w:themeColor="text1" w:themeTint="E6"/>
                                              <w:sz w:val="72"/>
                                              <w:szCs w:val="72"/>
                                              <w:lang w:val="en-GB"/>
                                            </w:rPr>
                                            <w:t>R</w:t>
                                          </w:r>
                                          <w:r w:rsidR="000E6658" w:rsidRPr="008146CD">
                                            <w:rPr>
                                              <w:rFonts w:asciiTheme="majorHAnsi" w:hAnsiTheme="majorHAnsi"/>
                                              <w:color w:val="191919" w:themeColor="text1" w:themeTint="E6"/>
                                              <w:sz w:val="72"/>
                                              <w:szCs w:val="72"/>
                                              <w:lang w:val="en-GB"/>
                                            </w:rPr>
                                            <w:t>eport</w:t>
                                          </w:r>
                                          <w:r w:rsidR="00621625" w:rsidRPr="008146CD">
                                            <w:rPr>
                                              <w:rFonts w:asciiTheme="majorHAnsi" w:hAnsiTheme="majorHAnsi"/>
                                              <w:color w:val="191919" w:themeColor="text1" w:themeTint="E6"/>
                                              <w:sz w:val="72"/>
                                              <w:szCs w:val="72"/>
                                              <w:lang w:val="en-GB"/>
                                            </w:rPr>
                                            <w:t xml:space="preserve"> 2019</w:t>
                                          </w:r>
                                        </w:p>
                                      </w:sdtContent>
                                    </w:sdt>
                                    <w:sdt>
                                      <w:sdtPr>
                                        <w:rPr>
                                          <w:rFonts w:asciiTheme="majorHAnsi" w:hAnsiTheme="majorHAnsi"/>
                                          <w:color w:val="000000" w:themeColor="text1"/>
                                          <w:sz w:val="30"/>
                                          <w:szCs w:val="30"/>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2138B8" w:rsidRPr="000E6658" w:rsidRDefault="00621625">
                                          <w:pPr>
                                            <w:jc w:val="right"/>
                                            <w:rPr>
                                              <w:sz w:val="30"/>
                                              <w:szCs w:val="30"/>
                                            </w:rPr>
                                          </w:pPr>
                                          <w:r w:rsidRPr="008146CD">
                                            <w:rPr>
                                              <w:rFonts w:asciiTheme="majorHAnsi" w:hAnsiTheme="majorHAnsi"/>
                                              <w:color w:val="000000" w:themeColor="text1"/>
                                              <w:sz w:val="30"/>
                                              <w:szCs w:val="30"/>
                                            </w:rPr>
                                            <w:t>3D fracture behaviour monitoring presented online in real time using Spinterference</w:t>
                                          </w:r>
                                        </w:p>
                                      </w:sdtContent>
                                    </w:sdt>
                                  </w:tc>
                                  <w:tc>
                                    <w:tcPr>
                                      <w:tcW w:w="2432" w:type="pct"/>
                                      <w:vAlign w:val="center"/>
                                    </w:tcPr>
                                    <w:p w:rsidR="002138B8" w:rsidRPr="0017254A" w:rsidRDefault="002138B8">
                                      <w:pPr>
                                        <w:pStyle w:val="NoSpacing"/>
                                        <w:rPr>
                                          <w:rFonts w:ascii="Calibri Light" w:hAnsi="Calibri Light"/>
                                          <w:b/>
                                          <w:caps/>
                                          <w:color w:val="ED7D31" w:themeColor="accent2"/>
                                          <w:sz w:val="30"/>
                                          <w:szCs w:val="30"/>
                                          <w:lang w:val="en-GB"/>
                                        </w:rPr>
                                      </w:pPr>
                                      <w:r w:rsidRPr="0017254A">
                                        <w:rPr>
                                          <w:rFonts w:ascii="Calibri Light" w:hAnsi="Calibri Light"/>
                                          <w:b/>
                                          <w:caps/>
                                          <w:color w:val="ED7D31" w:themeColor="accent2"/>
                                          <w:sz w:val="30"/>
                                          <w:szCs w:val="30"/>
                                          <w:lang w:val="en-GB"/>
                                        </w:rPr>
                                        <w:t>Abstract</w:t>
                                      </w:r>
                                    </w:p>
                                    <w:sdt>
                                      <w:sdtPr>
                                        <w:rPr>
                                          <w:color w:val="000000" w:themeColor="text1"/>
                                          <w:sz w:val="24"/>
                                          <w:szCs w:val="24"/>
                                        </w:rPr>
                                        <w:alias w:val="Abstract"/>
                                        <w:tag w:val=""/>
                                        <w:id w:val="-2036181933"/>
                                        <w:dataBinding w:prefixMappings="xmlns:ns0='http://schemas.microsoft.com/office/2006/coverPageProps' " w:xpath="/ns0:CoverPageProperties[1]/ns0:Abstract[1]" w:storeItemID="{55AF091B-3C7A-41E3-B477-F2FDAA23CFDA}"/>
                                        <w:text/>
                                      </w:sdtPr>
                                      <w:sdtEndPr/>
                                      <w:sdtContent>
                                        <w:p w:rsidR="002138B8" w:rsidRPr="0017254A" w:rsidRDefault="00C6322A">
                                          <w:pPr>
                                            <w:rPr>
                                              <w:color w:val="000000" w:themeColor="text1"/>
                                              <w:sz w:val="24"/>
                                              <w:szCs w:val="24"/>
                                            </w:rPr>
                                          </w:pPr>
                                          <w:r w:rsidRPr="0017254A">
                                            <w:rPr>
                                              <w:color w:val="000000" w:themeColor="text1"/>
                                              <w:sz w:val="24"/>
                                              <w:szCs w:val="24"/>
                                            </w:rPr>
                                            <w:t>3D fracture behaviour monitoring has been established across a rock discontinuity in the British Cave Monitoring Centre at Poole’s Cavern thanks to financial support from the British Cave Research Association. In this report the activities undertaken during the course of the project and the results obtained during the course of the project are summarised while the financial costs incurred during the course of the project are detailed. A final project report will be submitted in 2020.</w:t>
                                          </w:r>
                                        </w:p>
                                      </w:sdtContent>
                                    </w:sdt>
                                    <w:sdt>
                                      <w:sdtPr>
                                        <w:rPr>
                                          <w:rFonts w:ascii="Calibri Light" w:hAnsi="Calibri Light"/>
                                          <w:b/>
                                          <w:color w:val="ED7D31" w:themeColor="accent2"/>
                                          <w:sz w:val="30"/>
                                          <w:szCs w:val="30"/>
                                          <w:lang w:val="en-GB"/>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2138B8" w:rsidRPr="0017254A" w:rsidRDefault="00621625">
                                          <w:pPr>
                                            <w:pStyle w:val="NoSpacing"/>
                                            <w:rPr>
                                              <w:rFonts w:ascii="Calibri Light" w:hAnsi="Calibri Light"/>
                                              <w:b/>
                                              <w:color w:val="ED7D31" w:themeColor="accent2"/>
                                              <w:sz w:val="30"/>
                                              <w:szCs w:val="30"/>
                                              <w:lang w:val="en-GB"/>
                                            </w:rPr>
                                          </w:pPr>
                                          <w:r w:rsidRPr="0017254A">
                                            <w:rPr>
                                              <w:rFonts w:ascii="Calibri Light" w:hAnsi="Calibri Light"/>
                                              <w:b/>
                                              <w:color w:val="ED7D31" w:themeColor="accent2"/>
                                              <w:sz w:val="30"/>
                                              <w:szCs w:val="30"/>
                                              <w:lang w:val="en-GB"/>
                                            </w:rPr>
                                            <w:t>Matt Rowberry</w:t>
                                          </w:r>
                                        </w:p>
                                      </w:sdtContent>
                                    </w:sdt>
                                    <w:p w:rsidR="002138B8" w:rsidRPr="0017254A" w:rsidRDefault="005E5B98" w:rsidP="004655A7">
                                      <w:pPr>
                                        <w:pStyle w:val="NoSpacing"/>
                                        <w:rPr>
                                          <w:sz w:val="24"/>
                                          <w:szCs w:val="24"/>
                                        </w:rPr>
                                      </w:pPr>
                                      <w:sdt>
                                        <w:sdtPr>
                                          <w:rPr>
                                            <w:sz w:val="24"/>
                                            <w:szCs w:val="24"/>
                                            <w:lang w:val="en-GB"/>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4655A7" w:rsidRPr="0017254A">
                                            <w:rPr>
                                              <w:sz w:val="24"/>
                                              <w:szCs w:val="24"/>
                                              <w:lang w:val="en-GB"/>
                                            </w:rPr>
                                            <w:t>Department of Engineering Geology, Institute of Rock Structure &amp; Mechanics, Czech Academy of Sciences, V Holešovičkách 41, 182 09 Prague 8, Czech Republic</w:t>
                                          </w:r>
                                        </w:sdtContent>
                                      </w:sdt>
                                    </w:p>
                                  </w:tc>
                                </w:tr>
                              </w:tbl>
                              <w:p w:rsidR="002138B8" w:rsidRDefault="002138B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2138B8" w:rsidRPr="008146CD">
                            <w:trPr>
                              <w:jc w:val="center"/>
                            </w:trPr>
                            <w:tc>
                              <w:tcPr>
                                <w:tcW w:w="2568" w:type="pct"/>
                                <w:vAlign w:val="center"/>
                              </w:tcPr>
                              <w:sdt>
                                <w:sdtPr>
                                  <w:rPr>
                                    <w:rFonts w:asciiTheme="majorHAnsi" w:hAnsiTheme="majorHAnsi"/>
                                    <w:color w:val="191919" w:themeColor="text1" w:themeTint="E6"/>
                                    <w:sz w:val="72"/>
                                    <w:szCs w:val="72"/>
                                    <w:lang w:val="en-GB"/>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2138B8" w:rsidRPr="008146CD" w:rsidRDefault="00B85885" w:rsidP="00621625">
                                    <w:pPr>
                                      <w:pStyle w:val="NoSpacing"/>
                                      <w:spacing w:line="264" w:lineRule="auto"/>
                                      <w:jc w:val="right"/>
                                      <w:rPr>
                                        <w:rFonts w:asciiTheme="majorHAnsi" w:hAnsiTheme="majorHAnsi"/>
                                        <w:caps/>
                                        <w:color w:val="191919" w:themeColor="text1" w:themeTint="E6"/>
                                        <w:sz w:val="72"/>
                                        <w:szCs w:val="72"/>
                                        <w:lang w:val="en-GB"/>
                                      </w:rPr>
                                    </w:pPr>
                                    <w:r>
                                      <w:rPr>
                                        <w:rFonts w:asciiTheme="majorHAnsi" w:hAnsiTheme="majorHAnsi"/>
                                        <w:color w:val="191919" w:themeColor="text1" w:themeTint="E6"/>
                                        <w:sz w:val="72"/>
                                        <w:szCs w:val="72"/>
                                        <w:lang w:val="en-GB"/>
                                      </w:rPr>
                                      <w:t>Financial</w:t>
                                    </w:r>
                                    <w:r w:rsidR="000E6658" w:rsidRPr="008146CD">
                                      <w:rPr>
                                        <w:rFonts w:asciiTheme="majorHAnsi" w:hAnsiTheme="majorHAnsi"/>
                                        <w:color w:val="191919" w:themeColor="text1" w:themeTint="E6"/>
                                        <w:sz w:val="72"/>
                                        <w:szCs w:val="72"/>
                                        <w:lang w:val="en-GB"/>
                                      </w:rPr>
                                      <w:t xml:space="preserve"> </w:t>
                                    </w:r>
                                    <w:r w:rsidR="00153985" w:rsidRPr="008146CD">
                                      <w:rPr>
                                        <w:rFonts w:asciiTheme="majorHAnsi" w:hAnsiTheme="majorHAnsi"/>
                                        <w:color w:val="191919" w:themeColor="text1" w:themeTint="E6"/>
                                        <w:sz w:val="72"/>
                                        <w:szCs w:val="72"/>
                                        <w:lang w:val="en-GB"/>
                                      </w:rPr>
                                      <w:t>R</w:t>
                                    </w:r>
                                    <w:r w:rsidR="000E6658" w:rsidRPr="008146CD">
                                      <w:rPr>
                                        <w:rFonts w:asciiTheme="majorHAnsi" w:hAnsiTheme="majorHAnsi"/>
                                        <w:color w:val="191919" w:themeColor="text1" w:themeTint="E6"/>
                                        <w:sz w:val="72"/>
                                        <w:szCs w:val="72"/>
                                        <w:lang w:val="en-GB"/>
                                      </w:rPr>
                                      <w:t>eport</w:t>
                                    </w:r>
                                    <w:r w:rsidR="00621625" w:rsidRPr="008146CD">
                                      <w:rPr>
                                        <w:rFonts w:asciiTheme="majorHAnsi" w:hAnsiTheme="majorHAnsi"/>
                                        <w:color w:val="191919" w:themeColor="text1" w:themeTint="E6"/>
                                        <w:sz w:val="72"/>
                                        <w:szCs w:val="72"/>
                                        <w:lang w:val="en-GB"/>
                                      </w:rPr>
                                      <w:t xml:space="preserve"> 2019</w:t>
                                    </w:r>
                                  </w:p>
                                </w:sdtContent>
                              </w:sdt>
                              <w:sdt>
                                <w:sdtPr>
                                  <w:rPr>
                                    <w:rFonts w:asciiTheme="majorHAnsi" w:hAnsiTheme="majorHAnsi"/>
                                    <w:color w:val="000000" w:themeColor="text1"/>
                                    <w:sz w:val="30"/>
                                    <w:szCs w:val="30"/>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2138B8" w:rsidRPr="000E6658" w:rsidRDefault="00621625">
                                    <w:pPr>
                                      <w:jc w:val="right"/>
                                      <w:rPr>
                                        <w:sz w:val="30"/>
                                        <w:szCs w:val="30"/>
                                      </w:rPr>
                                    </w:pPr>
                                    <w:r w:rsidRPr="008146CD">
                                      <w:rPr>
                                        <w:rFonts w:asciiTheme="majorHAnsi" w:hAnsiTheme="majorHAnsi"/>
                                        <w:color w:val="000000" w:themeColor="text1"/>
                                        <w:sz w:val="30"/>
                                        <w:szCs w:val="30"/>
                                      </w:rPr>
                                      <w:t>3D fracture behaviour monitoring presented online in real time using Spinterference</w:t>
                                    </w:r>
                                  </w:p>
                                </w:sdtContent>
                              </w:sdt>
                            </w:tc>
                            <w:tc>
                              <w:tcPr>
                                <w:tcW w:w="2432" w:type="pct"/>
                                <w:vAlign w:val="center"/>
                              </w:tcPr>
                              <w:p w:rsidR="002138B8" w:rsidRPr="0017254A" w:rsidRDefault="002138B8">
                                <w:pPr>
                                  <w:pStyle w:val="NoSpacing"/>
                                  <w:rPr>
                                    <w:rFonts w:ascii="Calibri Light" w:hAnsi="Calibri Light"/>
                                    <w:b/>
                                    <w:caps/>
                                    <w:color w:val="ED7D31" w:themeColor="accent2"/>
                                    <w:sz w:val="30"/>
                                    <w:szCs w:val="30"/>
                                    <w:lang w:val="en-GB"/>
                                  </w:rPr>
                                </w:pPr>
                                <w:r w:rsidRPr="0017254A">
                                  <w:rPr>
                                    <w:rFonts w:ascii="Calibri Light" w:hAnsi="Calibri Light"/>
                                    <w:b/>
                                    <w:caps/>
                                    <w:color w:val="ED7D31" w:themeColor="accent2"/>
                                    <w:sz w:val="30"/>
                                    <w:szCs w:val="30"/>
                                    <w:lang w:val="en-GB"/>
                                  </w:rPr>
                                  <w:t>Abstract</w:t>
                                </w:r>
                              </w:p>
                              <w:sdt>
                                <w:sdtPr>
                                  <w:rPr>
                                    <w:color w:val="000000" w:themeColor="text1"/>
                                    <w:sz w:val="24"/>
                                    <w:szCs w:val="24"/>
                                  </w:rPr>
                                  <w:alias w:val="Abstract"/>
                                  <w:tag w:val=""/>
                                  <w:id w:val="-2036181933"/>
                                  <w:dataBinding w:prefixMappings="xmlns:ns0='http://schemas.microsoft.com/office/2006/coverPageProps' " w:xpath="/ns0:CoverPageProperties[1]/ns0:Abstract[1]" w:storeItemID="{55AF091B-3C7A-41E3-B477-F2FDAA23CFDA}"/>
                                  <w:text/>
                                </w:sdtPr>
                                <w:sdtEndPr/>
                                <w:sdtContent>
                                  <w:p w:rsidR="002138B8" w:rsidRPr="0017254A" w:rsidRDefault="00C6322A">
                                    <w:pPr>
                                      <w:rPr>
                                        <w:color w:val="000000" w:themeColor="text1"/>
                                        <w:sz w:val="24"/>
                                        <w:szCs w:val="24"/>
                                      </w:rPr>
                                    </w:pPr>
                                    <w:r w:rsidRPr="0017254A">
                                      <w:rPr>
                                        <w:color w:val="000000" w:themeColor="text1"/>
                                        <w:sz w:val="24"/>
                                        <w:szCs w:val="24"/>
                                      </w:rPr>
                                      <w:t>3D fracture behaviour monitoring has been established across a rock discontinuity in the British Cave Monitoring Centre at Poole’s Cavern thanks to financial support from the British Cave Research Association. In this report the activities undertaken during the course of the project and the results obtained during the course of the project are summarised while the financial costs incurred during the course of the project are detailed. A final project report will be submitted in 2020.</w:t>
                                    </w:r>
                                  </w:p>
                                </w:sdtContent>
                              </w:sdt>
                              <w:sdt>
                                <w:sdtPr>
                                  <w:rPr>
                                    <w:rFonts w:ascii="Calibri Light" w:hAnsi="Calibri Light"/>
                                    <w:b/>
                                    <w:color w:val="ED7D31" w:themeColor="accent2"/>
                                    <w:sz w:val="30"/>
                                    <w:szCs w:val="30"/>
                                    <w:lang w:val="en-GB"/>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2138B8" w:rsidRPr="0017254A" w:rsidRDefault="00621625">
                                    <w:pPr>
                                      <w:pStyle w:val="NoSpacing"/>
                                      <w:rPr>
                                        <w:rFonts w:ascii="Calibri Light" w:hAnsi="Calibri Light"/>
                                        <w:b/>
                                        <w:color w:val="ED7D31" w:themeColor="accent2"/>
                                        <w:sz w:val="30"/>
                                        <w:szCs w:val="30"/>
                                        <w:lang w:val="en-GB"/>
                                      </w:rPr>
                                    </w:pPr>
                                    <w:r w:rsidRPr="0017254A">
                                      <w:rPr>
                                        <w:rFonts w:ascii="Calibri Light" w:hAnsi="Calibri Light"/>
                                        <w:b/>
                                        <w:color w:val="ED7D31" w:themeColor="accent2"/>
                                        <w:sz w:val="30"/>
                                        <w:szCs w:val="30"/>
                                        <w:lang w:val="en-GB"/>
                                      </w:rPr>
                                      <w:t>Matt Rowberry</w:t>
                                    </w:r>
                                  </w:p>
                                </w:sdtContent>
                              </w:sdt>
                              <w:p w:rsidR="002138B8" w:rsidRPr="0017254A" w:rsidRDefault="005E5B98" w:rsidP="004655A7">
                                <w:pPr>
                                  <w:pStyle w:val="NoSpacing"/>
                                  <w:rPr>
                                    <w:sz w:val="24"/>
                                    <w:szCs w:val="24"/>
                                  </w:rPr>
                                </w:pPr>
                                <w:sdt>
                                  <w:sdtPr>
                                    <w:rPr>
                                      <w:sz w:val="24"/>
                                      <w:szCs w:val="24"/>
                                      <w:lang w:val="en-GB"/>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4655A7" w:rsidRPr="0017254A">
                                      <w:rPr>
                                        <w:sz w:val="24"/>
                                        <w:szCs w:val="24"/>
                                        <w:lang w:val="en-GB"/>
                                      </w:rPr>
                                      <w:t>Department of Engineering Geology, Institute of Rock Structure &amp; Mechanics, Czech Academy of Sciences, V Holešovičkách 41, 182 09 Prague 8, Czech Republic</w:t>
                                    </w:r>
                                  </w:sdtContent>
                                </w:sdt>
                              </w:p>
                            </w:tc>
                          </w:tr>
                        </w:tbl>
                        <w:p w:rsidR="002138B8" w:rsidRDefault="002138B8"/>
                      </w:txbxContent>
                    </v:textbox>
                    <w10:wrap anchorx="page" anchory="page"/>
                  </v:shape>
                </w:pict>
              </mc:Fallback>
            </mc:AlternateContent>
          </w:r>
        </w:p>
      </w:sdtContent>
    </w:sdt>
    <w:p w:rsidR="0000763B" w:rsidRDefault="0000763B" w:rsidP="004655A7">
      <w:pPr>
        <w:spacing w:after="0" w:line="360" w:lineRule="auto"/>
      </w:pPr>
    </w:p>
    <w:p w:rsidR="0000763B" w:rsidRDefault="0000763B" w:rsidP="004655A7">
      <w:pPr>
        <w:spacing w:after="0" w:line="360" w:lineRule="auto"/>
      </w:pPr>
    </w:p>
    <w:p w:rsidR="0000763B" w:rsidRDefault="0000763B" w:rsidP="004655A7">
      <w:pPr>
        <w:spacing w:after="0" w:line="360" w:lineRule="auto"/>
      </w:pPr>
    </w:p>
    <w:p w:rsidR="0000763B" w:rsidRDefault="0000763B" w:rsidP="004655A7">
      <w:pPr>
        <w:spacing w:after="0" w:line="360" w:lineRule="auto"/>
      </w:pPr>
    </w:p>
    <w:p w:rsidR="0000763B" w:rsidRDefault="0000763B" w:rsidP="004655A7">
      <w:pPr>
        <w:spacing w:after="0" w:line="360" w:lineRule="auto"/>
      </w:pPr>
    </w:p>
    <w:p w:rsidR="0000763B" w:rsidRDefault="0000763B" w:rsidP="004655A7">
      <w:pPr>
        <w:spacing w:after="0" w:line="360" w:lineRule="auto"/>
      </w:pPr>
    </w:p>
    <w:p w:rsidR="0000763B" w:rsidRDefault="0000763B" w:rsidP="004655A7">
      <w:pPr>
        <w:spacing w:after="0" w:line="360" w:lineRule="auto"/>
      </w:pPr>
    </w:p>
    <w:p w:rsidR="0000763B" w:rsidRDefault="0000763B" w:rsidP="004655A7">
      <w:pPr>
        <w:spacing w:after="0" w:line="360" w:lineRule="auto"/>
      </w:pPr>
    </w:p>
    <w:p w:rsidR="0000763B" w:rsidRDefault="0000763B" w:rsidP="004655A7">
      <w:pPr>
        <w:spacing w:after="0" w:line="360" w:lineRule="auto"/>
      </w:pPr>
    </w:p>
    <w:p w:rsidR="0000763B" w:rsidRDefault="0000763B" w:rsidP="004655A7">
      <w:pPr>
        <w:spacing w:after="0" w:line="360" w:lineRule="auto"/>
      </w:pPr>
    </w:p>
    <w:p w:rsidR="0000763B" w:rsidRDefault="0000763B" w:rsidP="004655A7">
      <w:pPr>
        <w:spacing w:after="0" w:line="360" w:lineRule="auto"/>
      </w:pPr>
    </w:p>
    <w:p w:rsidR="0000763B" w:rsidRDefault="0000763B" w:rsidP="004655A7">
      <w:pPr>
        <w:spacing w:after="0" w:line="360" w:lineRule="auto"/>
      </w:pPr>
    </w:p>
    <w:p w:rsidR="0000763B" w:rsidRDefault="0000763B" w:rsidP="004655A7">
      <w:pPr>
        <w:spacing w:after="0" w:line="360" w:lineRule="auto"/>
      </w:pPr>
    </w:p>
    <w:p w:rsidR="0000763B" w:rsidRDefault="0000763B" w:rsidP="004655A7">
      <w:pPr>
        <w:spacing w:after="0" w:line="360" w:lineRule="auto"/>
      </w:pPr>
    </w:p>
    <w:p w:rsidR="0000763B" w:rsidRDefault="0000763B" w:rsidP="004655A7">
      <w:pPr>
        <w:spacing w:after="0" w:line="360" w:lineRule="auto"/>
      </w:pPr>
    </w:p>
    <w:p w:rsidR="0000763B" w:rsidRDefault="0000763B" w:rsidP="004655A7">
      <w:pPr>
        <w:spacing w:after="0" w:line="360" w:lineRule="auto"/>
      </w:pPr>
    </w:p>
    <w:p w:rsidR="0000763B" w:rsidRDefault="0000763B" w:rsidP="004655A7">
      <w:pPr>
        <w:spacing w:after="0" w:line="360" w:lineRule="auto"/>
      </w:pPr>
    </w:p>
    <w:p w:rsidR="0000763B" w:rsidRDefault="0000763B" w:rsidP="004655A7">
      <w:pPr>
        <w:spacing w:after="0" w:line="360" w:lineRule="auto"/>
      </w:pPr>
    </w:p>
    <w:p w:rsidR="0000763B" w:rsidRDefault="0000763B" w:rsidP="004655A7">
      <w:pPr>
        <w:spacing w:after="0" w:line="360" w:lineRule="auto"/>
      </w:pPr>
    </w:p>
    <w:p w:rsidR="0000763B" w:rsidRDefault="0000763B" w:rsidP="004655A7">
      <w:pPr>
        <w:spacing w:after="0" w:line="360" w:lineRule="auto"/>
      </w:pPr>
    </w:p>
    <w:p w:rsidR="007D5E38" w:rsidRPr="007D5E38" w:rsidRDefault="007D5E38" w:rsidP="007D5E38">
      <w:pPr>
        <w:spacing w:after="0" w:line="360" w:lineRule="auto"/>
        <w:rPr>
          <w:rFonts w:asciiTheme="majorHAnsi" w:hAnsiTheme="majorHAnsi"/>
          <w:b/>
          <w:color w:val="ED7D31" w:themeColor="accent2"/>
          <w:sz w:val="32"/>
          <w:szCs w:val="32"/>
        </w:rPr>
      </w:pPr>
      <w:r w:rsidRPr="007D5E38">
        <w:rPr>
          <w:rFonts w:asciiTheme="majorHAnsi" w:hAnsiTheme="majorHAnsi"/>
          <w:b/>
          <w:color w:val="ED7D31" w:themeColor="accent2"/>
          <w:sz w:val="32"/>
          <w:szCs w:val="32"/>
        </w:rPr>
        <w:lastRenderedPageBreak/>
        <w:t>3D fracture behaviour monitoring presented online in real time using Spinterference</w:t>
      </w:r>
    </w:p>
    <w:p w:rsidR="007D5E38" w:rsidRPr="00655D27" w:rsidRDefault="007D5E38" w:rsidP="004500ED">
      <w:pPr>
        <w:spacing w:after="0" w:line="360" w:lineRule="auto"/>
        <w:ind w:left="284" w:hanging="284"/>
        <w:rPr>
          <w:rFonts w:ascii="Roboto" w:hAnsi="Roboto"/>
        </w:rPr>
      </w:pPr>
    </w:p>
    <w:p w:rsidR="007D5E38" w:rsidRPr="00655D27" w:rsidRDefault="007D5E38" w:rsidP="004500ED">
      <w:pPr>
        <w:spacing w:after="0" w:line="360" w:lineRule="auto"/>
        <w:ind w:left="284" w:hanging="284"/>
      </w:pPr>
      <w:r w:rsidRPr="00655D27">
        <w:t>Matt Rowberry</w:t>
      </w:r>
      <w:r w:rsidRPr="00655D27">
        <w:rPr>
          <w:vertAlign w:val="superscript"/>
        </w:rPr>
        <w:t>1</w:t>
      </w:r>
      <w:r w:rsidRPr="00655D27">
        <w:t>, Ivo Baroň</w:t>
      </w:r>
      <w:r w:rsidRPr="00655D27">
        <w:rPr>
          <w:vertAlign w:val="superscript"/>
        </w:rPr>
        <w:t>1</w:t>
      </w:r>
      <w:r w:rsidRPr="00655D27">
        <w:t>, Xavi Martí</w:t>
      </w:r>
      <w:r w:rsidRPr="00655D27">
        <w:rPr>
          <w:vertAlign w:val="superscript"/>
        </w:rPr>
        <w:t>2</w:t>
      </w:r>
      <w:r w:rsidRPr="00655D27">
        <w:t>, Carlos Frontera</w:t>
      </w:r>
      <w:r w:rsidRPr="00655D27">
        <w:rPr>
          <w:vertAlign w:val="superscript"/>
        </w:rPr>
        <w:t>3</w:t>
      </w:r>
    </w:p>
    <w:p w:rsidR="007D5E38" w:rsidRPr="00655D27" w:rsidRDefault="007D5E38" w:rsidP="004500ED">
      <w:pPr>
        <w:spacing w:after="0" w:line="360" w:lineRule="auto"/>
        <w:ind w:left="284" w:hanging="284"/>
      </w:pPr>
    </w:p>
    <w:p w:rsidR="007D5E38" w:rsidRPr="00655D27" w:rsidRDefault="007D5E38" w:rsidP="004500ED">
      <w:pPr>
        <w:spacing w:after="120" w:line="360" w:lineRule="auto"/>
        <w:ind w:left="284" w:hanging="284"/>
      </w:pPr>
      <w:r w:rsidRPr="00655D27">
        <w:rPr>
          <w:vertAlign w:val="superscript"/>
        </w:rPr>
        <w:t>1</w:t>
      </w:r>
      <w:r w:rsidRPr="00655D27">
        <w:t xml:space="preserve"> </w:t>
      </w:r>
      <w:r w:rsidRPr="00655D27">
        <w:tab/>
        <w:t>Department of Engineering Geology, Institute of Rock Structure &amp; Mechanics, v.v.i, Czech Academy of Sciences, V Holešovičkách 41, 182 09 Prague 8, Czech Republic.</w:t>
      </w:r>
    </w:p>
    <w:p w:rsidR="007D5E38" w:rsidRPr="00655D27" w:rsidRDefault="007D5E38" w:rsidP="004500ED">
      <w:pPr>
        <w:spacing w:after="120" w:line="360" w:lineRule="auto"/>
        <w:ind w:left="284" w:hanging="284"/>
      </w:pPr>
      <w:r w:rsidRPr="00655D27">
        <w:rPr>
          <w:vertAlign w:val="superscript"/>
        </w:rPr>
        <w:t>2</w:t>
      </w:r>
      <w:r w:rsidRPr="00655D27">
        <w:t xml:space="preserve"> </w:t>
      </w:r>
      <w:r w:rsidRPr="00655D27">
        <w:tab/>
        <w:t xml:space="preserve">Department of Spintronics &amp; Nanoelectronics, Institute of Physics, Czech Academy of Sciences, v.v.i., Cukrovarnická 10, 162 00 Prague 6, Czech Republic. </w:t>
      </w:r>
    </w:p>
    <w:p w:rsidR="007D5E38" w:rsidRPr="00655D27" w:rsidRDefault="007D5E38" w:rsidP="004500ED">
      <w:pPr>
        <w:spacing w:after="0" w:line="360" w:lineRule="auto"/>
        <w:ind w:left="284" w:hanging="284"/>
      </w:pPr>
      <w:r w:rsidRPr="00655D27">
        <w:rPr>
          <w:vertAlign w:val="superscript"/>
        </w:rPr>
        <w:t xml:space="preserve">3 </w:t>
      </w:r>
      <w:r w:rsidRPr="00655D27">
        <w:rPr>
          <w:vertAlign w:val="superscript"/>
        </w:rPr>
        <w:tab/>
      </w:r>
      <w:r w:rsidRPr="00655D27">
        <w:t xml:space="preserve">Department of Magnetic Materials &amp; Functional Oxides, Institut de Ciència de Materials de Barcelona, ICMAB-CSIC, Campus UAB, E-08193 Bellaterra, Barcelona, Spain. </w:t>
      </w:r>
    </w:p>
    <w:p w:rsidR="004500ED" w:rsidRPr="00655D27" w:rsidRDefault="004500ED" w:rsidP="004500ED">
      <w:pPr>
        <w:spacing w:after="0" w:line="360" w:lineRule="auto"/>
        <w:ind w:left="284" w:hanging="284"/>
      </w:pPr>
    </w:p>
    <w:sdt>
      <w:sdtPr>
        <w:rPr>
          <w:rFonts w:asciiTheme="minorHAnsi" w:eastAsiaTheme="minorHAnsi" w:hAnsiTheme="minorHAnsi" w:cstheme="minorBidi"/>
          <w:b w:val="0"/>
          <w:bCs w:val="0"/>
          <w:color w:val="auto"/>
          <w:sz w:val="22"/>
          <w:szCs w:val="22"/>
          <w:lang w:eastAsia="en-US"/>
        </w:rPr>
        <w:id w:val="-865829274"/>
        <w:docPartObj>
          <w:docPartGallery w:val="Table of Contents"/>
          <w:docPartUnique/>
        </w:docPartObj>
      </w:sdtPr>
      <w:sdtEndPr>
        <w:rPr>
          <w:rFonts w:ascii="Roboto" w:hAnsi="Roboto"/>
          <w:noProof/>
        </w:rPr>
      </w:sdtEndPr>
      <w:sdtContent>
        <w:p w:rsidR="008146CD" w:rsidRPr="008E7413" w:rsidRDefault="007D5E38" w:rsidP="007A2AB4">
          <w:pPr>
            <w:pStyle w:val="TOCHeading"/>
            <w:spacing w:before="0" w:line="360" w:lineRule="auto"/>
            <w:rPr>
              <w:color w:val="ED7D31" w:themeColor="accent2"/>
            </w:rPr>
          </w:pPr>
          <w:r>
            <w:rPr>
              <w:color w:val="ED7D31" w:themeColor="accent2"/>
            </w:rPr>
            <w:t>Table of c</w:t>
          </w:r>
          <w:r w:rsidR="008146CD" w:rsidRPr="008E7413">
            <w:rPr>
              <w:color w:val="ED7D31" w:themeColor="accent2"/>
            </w:rPr>
            <w:t>ontents</w:t>
          </w:r>
        </w:p>
        <w:p w:rsidR="00C62EB6" w:rsidRDefault="008146CD">
          <w:pPr>
            <w:pStyle w:val="TOC2"/>
            <w:tabs>
              <w:tab w:val="right" w:leader="dot" w:pos="9063"/>
            </w:tabs>
            <w:rPr>
              <w:rFonts w:eastAsiaTheme="minorEastAsia"/>
              <w:noProof/>
              <w:lang w:eastAsia="en-GB"/>
            </w:rPr>
          </w:pPr>
          <w:r w:rsidRPr="00655D27">
            <w:fldChar w:fldCharType="begin"/>
          </w:r>
          <w:r w:rsidRPr="00655D27">
            <w:instrText xml:space="preserve"> TOC \o "1-3" \h \z \u </w:instrText>
          </w:r>
          <w:r w:rsidRPr="00655D27">
            <w:fldChar w:fldCharType="separate"/>
          </w:r>
          <w:hyperlink w:anchor="_Toc30951296" w:history="1">
            <w:r w:rsidR="00C62EB6" w:rsidRPr="00D24048">
              <w:rPr>
                <w:rStyle w:val="Hyperlink"/>
                <w:noProof/>
              </w:rPr>
              <w:t>Key points</w:t>
            </w:r>
            <w:r w:rsidR="00C62EB6">
              <w:rPr>
                <w:noProof/>
                <w:webHidden/>
              </w:rPr>
              <w:tab/>
            </w:r>
            <w:r w:rsidR="00C62EB6">
              <w:rPr>
                <w:noProof/>
                <w:webHidden/>
              </w:rPr>
              <w:fldChar w:fldCharType="begin"/>
            </w:r>
            <w:r w:rsidR="00C62EB6">
              <w:rPr>
                <w:noProof/>
                <w:webHidden/>
              </w:rPr>
              <w:instrText xml:space="preserve"> PAGEREF _Toc30951296 \h </w:instrText>
            </w:r>
            <w:r w:rsidR="00C62EB6">
              <w:rPr>
                <w:noProof/>
                <w:webHidden/>
              </w:rPr>
            </w:r>
            <w:r w:rsidR="00C62EB6">
              <w:rPr>
                <w:noProof/>
                <w:webHidden/>
              </w:rPr>
              <w:fldChar w:fldCharType="separate"/>
            </w:r>
            <w:r w:rsidR="00C62EB6">
              <w:rPr>
                <w:noProof/>
                <w:webHidden/>
              </w:rPr>
              <w:t>1</w:t>
            </w:r>
            <w:r w:rsidR="00C62EB6">
              <w:rPr>
                <w:noProof/>
                <w:webHidden/>
              </w:rPr>
              <w:fldChar w:fldCharType="end"/>
            </w:r>
          </w:hyperlink>
        </w:p>
        <w:p w:rsidR="00C62EB6" w:rsidRDefault="005E5B98">
          <w:pPr>
            <w:pStyle w:val="TOC2"/>
            <w:tabs>
              <w:tab w:val="right" w:leader="dot" w:pos="9063"/>
            </w:tabs>
            <w:rPr>
              <w:rFonts w:eastAsiaTheme="minorEastAsia"/>
              <w:noProof/>
              <w:lang w:eastAsia="en-GB"/>
            </w:rPr>
          </w:pPr>
          <w:hyperlink w:anchor="_Toc30951297" w:history="1">
            <w:r w:rsidR="00C62EB6" w:rsidRPr="00D24048">
              <w:rPr>
                <w:rStyle w:val="Hyperlink"/>
                <w:noProof/>
              </w:rPr>
              <w:t>Summary of activities</w:t>
            </w:r>
            <w:r w:rsidR="00C62EB6">
              <w:rPr>
                <w:noProof/>
                <w:webHidden/>
              </w:rPr>
              <w:tab/>
            </w:r>
            <w:r w:rsidR="00C62EB6">
              <w:rPr>
                <w:noProof/>
                <w:webHidden/>
              </w:rPr>
              <w:fldChar w:fldCharType="begin"/>
            </w:r>
            <w:r w:rsidR="00C62EB6">
              <w:rPr>
                <w:noProof/>
                <w:webHidden/>
              </w:rPr>
              <w:instrText xml:space="preserve"> PAGEREF _Toc30951297 \h </w:instrText>
            </w:r>
            <w:r w:rsidR="00C62EB6">
              <w:rPr>
                <w:noProof/>
                <w:webHidden/>
              </w:rPr>
            </w:r>
            <w:r w:rsidR="00C62EB6">
              <w:rPr>
                <w:noProof/>
                <w:webHidden/>
              </w:rPr>
              <w:fldChar w:fldCharType="separate"/>
            </w:r>
            <w:r w:rsidR="00C62EB6">
              <w:rPr>
                <w:noProof/>
                <w:webHidden/>
              </w:rPr>
              <w:t>2</w:t>
            </w:r>
            <w:r w:rsidR="00C62EB6">
              <w:rPr>
                <w:noProof/>
                <w:webHidden/>
              </w:rPr>
              <w:fldChar w:fldCharType="end"/>
            </w:r>
          </w:hyperlink>
        </w:p>
        <w:p w:rsidR="00C62EB6" w:rsidRDefault="005E5B98">
          <w:pPr>
            <w:pStyle w:val="TOC2"/>
            <w:tabs>
              <w:tab w:val="right" w:leader="dot" w:pos="9063"/>
            </w:tabs>
            <w:rPr>
              <w:rFonts w:eastAsiaTheme="minorEastAsia"/>
              <w:noProof/>
              <w:lang w:eastAsia="en-GB"/>
            </w:rPr>
          </w:pPr>
          <w:hyperlink w:anchor="_Toc30951298" w:history="1">
            <w:r w:rsidR="00C62EB6" w:rsidRPr="00D24048">
              <w:rPr>
                <w:rStyle w:val="Hyperlink"/>
                <w:noProof/>
              </w:rPr>
              <w:t>Summary of results</w:t>
            </w:r>
            <w:r w:rsidR="00C62EB6">
              <w:rPr>
                <w:noProof/>
                <w:webHidden/>
              </w:rPr>
              <w:tab/>
            </w:r>
            <w:r w:rsidR="00C62EB6">
              <w:rPr>
                <w:noProof/>
                <w:webHidden/>
              </w:rPr>
              <w:fldChar w:fldCharType="begin"/>
            </w:r>
            <w:r w:rsidR="00C62EB6">
              <w:rPr>
                <w:noProof/>
                <w:webHidden/>
              </w:rPr>
              <w:instrText xml:space="preserve"> PAGEREF _Toc30951298 \h </w:instrText>
            </w:r>
            <w:r w:rsidR="00C62EB6">
              <w:rPr>
                <w:noProof/>
                <w:webHidden/>
              </w:rPr>
            </w:r>
            <w:r w:rsidR="00C62EB6">
              <w:rPr>
                <w:noProof/>
                <w:webHidden/>
              </w:rPr>
              <w:fldChar w:fldCharType="separate"/>
            </w:r>
            <w:r w:rsidR="00C62EB6">
              <w:rPr>
                <w:noProof/>
                <w:webHidden/>
              </w:rPr>
              <w:t>2</w:t>
            </w:r>
            <w:r w:rsidR="00C62EB6">
              <w:rPr>
                <w:noProof/>
                <w:webHidden/>
              </w:rPr>
              <w:fldChar w:fldCharType="end"/>
            </w:r>
          </w:hyperlink>
        </w:p>
        <w:p w:rsidR="00C62EB6" w:rsidRDefault="005E5B98">
          <w:pPr>
            <w:pStyle w:val="TOC2"/>
            <w:tabs>
              <w:tab w:val="right" w:leader="dot" w:pos="9063"/>
            </w:tabs>
            <w:rPr>
              <w:rFonts w:eastAsiaTheme="minorEastAsia"/>
              <w:noProof/>
              <w:lang w:eastAsia="en-GB"/>
            </w:rPr>
          </w:pPr>
          <w:hyperlink w:anchor="_Toc30951299" w:history="1">
            <w:r w:rsidR="00C62EB6" w:rsidRPr="00D24048">
              <w:rPr>
                <w:rStyle w:val="Hyperlink"/>
                <w:noProof/>
              </w:rPr>
              <w:t>Financial expenditure</w:t>
            </w:r>
            <w:r w:rsidR="00C62EB6">
              <w:rPr>
                <w:noProof/>
                <w:webHidden/>
              </w:rPr>
              <w:tab/>
            </w:r>
            <w:r w:rsidR="00C62EB6">
              <w:rPr>
                <w:noProof/>
                <w:webHidden/>
              </w:rPr>
              <w:fldChar w:fldCharType="begin"/>
            </w:r>
            <w:r w:rsidR="00C62EB6">
              <w:rPr>
                <w:noProof/>
                <w:webHidden/>
              </w:rPr>
              <w:instrText xml:space="preserve"> PAGEREF _Toc30951299 \h </w:instrText>
            </w:r>
            <w:r w:rsidR="00C62EB6">
              <w:rPr>
                <w:noProof/>
                <w:webHidden/>
              </w:rPr>
            </w:r>
            <w:r w:rsidR="00C62EB6">
              <w:rPr>
                <w:noProof/>
                <w:webHidden/>
              </w:rPr>
              <w:fldChar w:fldCharType="separate"/>
            </w:r>
            <w:r w:rsidR="00C62EB6">
              <w:rPr>
                <w:noProof/>
                <w:webHidden/>
              </w:rPr>
              <w:t>4</w:t>
            </w:r>
            <w:r w:rsidR="00C62EB6">
              <w:rPr>
                <w:noProof/>
                <w:webHidden/>
              </w:rPr>
              <w:fldChar w:fldCharType="end"/>
            </w:r>
          </w:hyperlink>
        </w:p>
        <w:p w:rsidR="00C62EB6" w:rsidRDefault="005E5B98">
          <w:pPr>
            <w:pStyle w:val="TOC2"/>
            <w:tabs>
              <w:tab w:val="right" w:leader="dot" w:pos="9063"/>
            </w:tabs>
            <w:rPr>
              <w:rFonts w:eastAsiaTheme="minorEastAsia"/>
              <w:noProof/>
              <w:lang w:eastAsia="en-GB"/>
            </w:rPr>
          </w:pPr>
          <w:hyperlink w:anchor="_Toc30951300" w:history="1">
            <w:r w:rsidR="00C62EB6" w:rsidRPr="00D24048">
              <w:rPr>
                <w:rStyle w:val="Hyperlink"/>
                <w:noProof/>
              </w:rPr>
              <w:t>Appendix I: Scientific research at Poole’s Cavern</w:t>
            </w:r>
            <w:r w:rsidR="00C62EB6">
              <w:rPr>
                <w:noProof/>
                <w:webHidden/>
              </w:rPr>
              <w:tab/>
            </w:r>
            <w:r w:rsidR="00C62EB6">
              <w:rPr>
                <w:noProof/>
                <w:webHidden/>
              </w:rPr>
              <w:fldChar w:fldCharType="begin"/>
            </w:r>
            <w:r w:rsidR="00C62EB6">
              <w:rPr>
                <w:noProof/>
                <w:webHidden/>
              </w:rPr>
              <w:instrText xml:space="preserve"> PAGEREF _Toc30951300 \h </w:instrText>
            </w:r>
            <w:r w:rsidR="00C62EB6">
              <w:rPr>
                <w:noProof/>
                <w:webHidden/>
              </w:rPr>
            </w:r>
            <w:r w:rsidR="00C62EB6">
              <w:rPr>
                <w:noProof/>
                <w:webHidden/>
              </w:rPr>
              <w:fldChar w:fldCharType="separate"/>
            </w:r>
            <w:r w:rsidR="00C62EB6">
              <w:rPr>
                <w:noProof/>
                <w:webHidden/>
              </w:rPr>
              <w:t>5</w:t>
            </w:r>
            <w:r w:rsidR="00C62EB6">
              <w:rPr>
                <w:noProof/>
                <w:webHidden/>
              </w:rPr>
              <w:fldChar w:fldCharType="end"/>
            </w:r>
          </w:hyperlink>
        </w:p>
        <w:p w:rsidR="00C62EB6" w:rsidRDefault="005E5B98">
          <w:pPr>
            <w:pStyle w:val="TOC2"/>
            <w:tabs>
              <w:tab w:val="right" w:leader="dot" w:pos="9063"/>
            </w:tabs>
            <w:rPr>
              <w:rFonts w:eastAsiaTheme="minorEastAsia"/>
              <w:noProof/>
              <w:lang w:eastAsia="en-GB"/>
            </w:rPr>
          </w:pPr>
          <w:hyperlink w:anchor="_Toc30951301" w:history="1">
            <w:r w:rsidR="00C62EB6" w:rsidRPr="00D24048">
              <w:rPr>
                <w:rStyle w:val="Hyperlink"/>
                <w:noProof/>
              </w:rPr>
              <w:t>Appendix II: Itemised statement</w:t>
            </w:r>
            <w:r w:rsidR="00C62EB6">
              <w:rPr>
                <w:noProof/>
                <w:webHidden/>
              </w:rPr>
              <w:tab/>
            </w:r>
            <w:r w:rsidR="00C62EB6">
              <w:rPr>
                <w:noProof/>
                <w:webHidden/>
              </w:rPr>
              <w:fldChar w:fldCharType="begin"/>
            </w:r>
            <w:r w:rsidR="00C62EB6">
              <w:rPr>
                <w:noProof/>
                <w:webHidden/>
              </w:rPr>
              <w:instrText xml:space="preserve"> PAGEREF _Toc30951301 \h </w:instrText>
            </w:r>
            <w:r w:rsidR="00C62EB6">
              <w:rPr>
                <w:noProof/>
                <w:webHidden/>
              </w:rPr>
            </w:r>
            <w:r w:rsidR="00C62EB6">
              <w:rPr>
                <w:noProof/>
                <w:webHidden/>
              </w:rPr>
              <w:fldChar w:fldCharType="separate"/>
            </w:r>
            <w:r w:rsidR="00C62EB6">
              <w:rPr>
                <w:noProof/>
                <w:webHidden/>
              </w:rPr>
              <w:t>6</w:t>
            </w:r>
            <w:r w:rsidR="00C62EB6">
              <w:rPr>
                <w:noProof/>
                <w:webHidden/>
              </w:rPr>
              <w:fldChar w:fldCharType="end"/>
            </w:r>
          </w:hyperlink>
        </w:p>
        <w:p w:rsidR="00152443" w:rsidRPr="0008190A" w:rsidRDefault="008146CD" w:rsidP="007A2AB4">
          <w:pPr>
            <w:spacing w:after="0" w:line="360" w:lineRule="auto"/>
            <w:rPr>
              <w:rFonts w:ascii="Roboto" w:hAnsi="Roboto"/>
            </w:rPr>
          </w:pPr>
          <w:r w:rsidRPr="00655D27">
            <w:rPr>
              <w:b/>
              <w:bCs/>
              <w:noProof/>
            </w:rPr>
            <w:fldChar w:fldCharType="end"/>
          </w:r>
        </w:p>
      </w:sdtContent>
    </w:sdt>
    <w:p w:rsidR="0017254A" w:rsidRPr="0017254A" w:rsidRDefault="00655D27" w:rsidP="007A2AB4">
      <w:pPr>
        <w:pStyle w:val="Heading2"/>
        <w:spacing w:before="0" w:line="360" w:lineRule="auto"/>
        <w:rPr>
          <w:color w:val="ED7D31" w:themeColor="accent2"/>
        </w:rPr>
      </w:pPr>
      <w:bookmarkStart w:id="0" w:name="_Toc30951296"/>
      <w:r>
        <w:rPr>
          <w:color w:val="ED7D31" w:themeColor="accent2"/>
        </w:rPr>
        <w:t>Key points</w:t>
      </w:r>
      <w:bookmarkEnd w:id="0"/>
    </w:p>
    <w:p w:rsidR="00655D27" w:rsidRPr="00655D27" w:rsidRDefault="00655D27" w:rsidP="00655D27">
      <w:pPr>
        <w:pStyle w:val="ListParagraph"/>
        <w:numPr>
          <w:ilvl w:val="0"/>
          <w:numId w:val="13"/>
        </w:numPr>
        <w:spacing w:after="0" w:line="360" w:lineRule="auto"/>
        <w:ind w:left="426" w:hanging="284"/>
        <w:contextualSpacing w:val="0"/>
        <w:rPr>
          <w:rFonts w:ascii="Calibri" w:hAnsi="Calibri"/>
        </w:rPr>
      </w:pPr>
      <w:r w:rsidRPr="00655D27">
        <w:rPr>
          <w:rFonts w:ascii="Calibri" w:hAnsi="Calibri"/>
        </w:rPr>
        <w:t xml:space="preserve">The Cave Science &amp; Technology Research Fund provided </w:t>
      </w:r>
      <w:r w:rsidR="00940471">
        <w:rPr>
          <w:rFonts w:ascii="Calibri" w:hAnsi="Calibri"/>
        </w:rPr>
        <w:t xml:space="preserve">12 months of </w:t>
      </w:r>
      <w:r w:rsidRPr="00655D27">
        <w:rPr>
          <w:rFonts w:ascii="Calibri" w:hAnsi="Calibri"/>
        </w:rPr>
        <w:t xml:space="preserve">financial support for the project “3D fracture behaviour monitoring presented online in real time using Spinterference”. </w:t>
      </w:r>
    </w:p>
    <w:p w:rsidR="00655D27" w:rsidRPr="00655D27" w:rsidRDefault="00655D27" w:rsidP="00655D27">
      <w:pPr>
        <w:pStyle w:val="ListParagraph"/>
        <w:numPr>
          <w:ilvl w:val="0"/>
          <w:numId w:val="13"/>
        </w:numPr>
        <w:spacing w:after="0" w:line="360" w:lineRule="auto"/>
        <w:ind w:left="426" w:hanging="284"/>
        <w:contextualSpacing w:val="0"/>
        <w:rPr>
          <w:rFonts w:ascii="Calibri" w:hAnsi="Calibri"/>
        </w:rPr>
      </w:pPr>
      <w:r w:rsidRPr="00655D27">
        <w:rPr>
          <w:rFonts w:ascii="Calibri" w:hAnsi="Calibri"/>
        </w:rPr>
        <w:t>During the course of this project one Spinterference contactless positioning system was fabricated by IGS Research and installed in the British Cave Monitoring Centre at Poole’s Cavern.</w:t>
      </w:r>
    </w:p>
    <w:p w:rsidR="00655D27" w:rsidRPr="00655D27" w:rsidRDefault="00655D27" w:rsidP="00655D27">
      <w:pPr>
        <w:pStyle w:val="ListParagraph"/>
        <w:numPr>
          <w:ilvl w:val="0"/>
          <w:numId w:val="13"/>
        </w:numPr>
        <w:spacing w:after="0" w:line="360" w:lineRule="auto"/>
        <w:ind w:left="426" w:hanging="284"/>
        <w:contextualSpacing w:val="0"/>
        <w:rPr>
          <w:rFonts w:ascii="Calibri" w:hAnsi="Calibri"/>
        </w:rPr>
      </w:pPr>
      <w:r w:rsidRPr="00655D27">
        <w:rPr>
          <w:rFonts w:ascii="Calibri" w:hAnsi="Calibri"/>
        </w:rPr>
        <w:t>Magnetic field data are streamed to a computing cluster, transformed into three dimensional displacement data, and presented online in real time</w:t>
      </w:r>
      <w:r w:rsidR="00940471">
        <w:rPr>
          <w:rFonts w:ascii="Calibri" w:hAnsi="Calibri"/>
        </w:rPr>
        <w:t>. T</w:t>
      </w:r>
      <w:r w:rsidRPr="00655D27">
        <w:rPr>
          <w:rFonts w:ascii="Calibri" w:hAnsi="Calibri"/>
        </w:rPr>
        <w:t>hese data are available for download.</w:t>
      </w:r>
    </w:p>
    <w:p w:rsidR="00655D27" w:rsidRPr="00655D27" w:rsidRDefault="00655D27" w:rsidP="00655D27">
      <w:pPr>
        <w:pStyle w:val="ListParagraph"/>
        <w:numPr>
          <w:ilvl w:val="0"/>
          <w:numId w:val="13"/>
        </w:numPr>
        <w:spacing w:after="0" w:line="360" w:lineRule="auto"/>
        <w:ind w:left="426" w:hanging="284"/>
        <w:contextualSpacing w:val="0"/>
        <w:rPr>
          <w:rFonts w:ascii="Calibri" w:hAnsi="Calibri"/>
        </w:rPr>
      </w:pPr>
      <w:r w:rsidRPr="00655D27">
        <w:rPr>
          <w:rFonts w:ascii="Calibri" w:hAnsi="Calibri"/>
        </w:rPr>
        <w:t xml:space="preserve">The deliverable outcomes include one social media post and one conference presentation as well as one manuscript which will be submitted during the first half of 2020. </w:t>
      </w:r>
    </w:p>
    <w:p w:rsidR="00655D27" w:rsidRPr="00655D27" w:rsidRDefault="00655D27" w:rsidP="00655D27">
      <w:pPr>
        <w:pStyle w:val="ListParagraph"/>
        <w:numPr>
          <w:ilvl w:val="0"/>
          <w:numId w:val="13"/>
        </w:numPr>
        <w:spacing w:after="0" w:line="360" w:lineRule="auto"/>
        <w:ind w:left="426" w:hanging="284"/>
        <w:contextualSpacing w:val="0"/>
        <w:rPr>
          <w:rFonts w:ascii="Calibri" w:hAnsi="Calibri"/>
        </w:rPr>
      </w:pPr>
      <w:r w:rsidRPr="00655D27">
        <w:rPr>
          <w:rFonts w:ascii="Calibri" w:hAnsi="Calibri"/>
        </w:rPr>
        <w:t xml:space="preserve">The CSTRF </w:t>
      </w:r>
      <w:r w:rsidR="00940471">
        <w:rPr>
          <w:rFonts w:ascii="Calibri" w:hAnsi="Calibri"/>
        </w:rPr>
        <w:t xml:space="preserve">and the BCMC </w:t>
      </w:r>
      <w:r w:rsidRPr="00655D27">
        <w:rPr>
          <w:rFonts w:ascii="Calibri" w:hAnsi="Calibri"/>
        </w:rPr>
        <w:t>provided 3</w:t>
      </w:r>
      <w:r w:rsidR="00940471">
        <w:rPr>
          <w:rFonts w:ascii="Calibri" w:hAnsi="Calibri"/>
        </w:rPr>
        <w:t xml:space="preserve"> </w:t>
      </w:r>
      <w:r w:rsidRPr="00655D27">
        <w:rPr>
          <w:rFonts w:ascii="Calibri" w:hAnsi="Calibri"/>
        </w:rPr>
        <w:t xml:space="preserve">000 </w:t>
      </w:r>
      <w:r w:rsidR="000B7A0E">
        <w:rPr>
          <w:rFonts w:ascii="Calibri" w:hAnsi="Calibri"/>
        </w:rPr>
        <w:t xml:space="preserve">GBP for the </w:t>
      </w:r>
      <w:r w:rsidR="00940471">
        <w:rPr>
          <w:rFonts w:ascii="Calibri" w:hAnsi="Calibri"/>
        </w:rPr>
        <w:t xml:space="preserve">project </w:t>
      </w:r>
      <w:r w:rsidRPr="00655D27">
        <w:rPr>
          <w:rFonts w:ascii="Calibri" w:hAnsi="Calibri"/>
        </w:rPr>
        <w:t xml:space="preserve">while its </w:t>
      </w:r>
      <w:r w:rsidR="000B7A0E">
        <w:rPr>
          <w:rFonts w:ascii="Calibri" w:hAnsi="Calibri"/>
        </w:rPr>
        <w:t xml:space="preserve">final </w:t>
      </w:r>
      <w:r w:rsidRPr="00655D27">
        <w:rPr>
          <w:rFonts w:ascii="Calibri" w:hAnsi="Calibri"/>
        </w:rPr>
        <w:t>cost came to 3</w:t>
      </w:r>
      <w:r w:rsidR="00940471">
        <w:rPr>
          <w:rFonts w:ascii="Calibri" w:hAnsi="Calibri"/>
        </w:rPr>
        <w:t xml:space="preserve"> </w:t>
      </w:r>
      <w:r w:rsidRPr="00655D27">
        <w:rPr>
          <w:rFonts w:ascii="Calibri" w:hAnsi="Calibri"/>
        </w:rPr>
        <w:t>008.85</w:t>
      </w:r>
      <w:r w:rsidR="00940471">
        <w:rPr>
          <w:rFonts w:ascii="Calibri" w:hAnsi="Calibri"/>
        </w:rPr>
        <w:t xml:space="preserve"> GBP</w:t>
      </w:r>
      <w:r w:rsidRPr="00655D27">
        <w:rPr>
          <w:rFonts w:ascii="Calibri" w:hAnsi="Calibri"/>
        </w:rPr>
        <w:t xml:space="preserve">. </w:t>
      </w:r>
      <w:r w:rsidR="00940471">
        <w:rPr>
          <w:rFonts w:ascii="Calibri" w:hAnsi="Calibri"/>
        </w:rPr>
        <w:t>T</w:t>
      </w:r>
      <w:r w:rsidRPr="00655D27">
        <w:rPr>
          <w:rFonts w:ascii="Calibri" w:hAnsi="Calibri"/>
        </w:rPr>
        <w:t>h</w:t>
      </w:r>
      <w:r w:rsidR="00940471">
        <w:rPr>
          <w:rFonts w:ascii="Calibri" w:hAnsi="Calibri"/>
        </w:rPr>
        <w:t>is</w:t>
      </w:r>
      <w:r w:rsidRPr="00655D27">
        <w:rPr>
          <w:rFonts w:ascii="Calibri" w:hAnsi="Calibri"/>
        </w:rPr>
        <w:t xml:space="preserve"> expenditure </w:t>
      </w:r>
      <w:r w:rsidR="00940471">
        <w:rPr>
          <w:rFonts w:ascii="Calibri" w:hAnsi="Calibri"/>
        </w:rPr>
        <w:t xml:space="preserve">is </w:t>
      </w:r>
      <w:r w:rsidR="000B7A0E">
        <w:rPr>
          <w:rFonts w:ascii="Calibri" w:hAnsi="Calibri"/>
        </w:rPr>
        <w:t xml:space="preserve">described </w:t>
      </w:r>
      <w:r w:rsidRPr="00655D27">
        <w:rPr>
          <w:rFonts w:ascii="Calibri" w:hAnsi="Calibri"/>
        </w:rPr>
        <w:t>and a</w:t>
      </w:r>
      <w:r w:rsidR="00940471">
        <w:rPr>
          <w:rFonts w:ascii="Calibri" w:hAnsi="Calibri"/>
        </w:rPr>
        <w:t>n itemised statement is presented</w:t>
      </w:r>
      <w:r w:rsidRPr="00655D27">
        <w:rPr>
          <w:rFonts w:ascii="Calibri" w:hAnsi="Calibri"/>
        </w:rPr>
        <w:t xml:space="preserve">. </w:t>
      </w:r>
    </w:p>
    <w:p w:rsidR="00261F19" w:rsidRPr="00D617D2" w:rsidRDefault="00261F19">
      <w:pPr>
        <w:rPr>
          <w:sz w:val="20"/>
          <w:szCs w:val="20"/>
        </w:rPr>
      </w:pPr>
      <w:r w:rsidRPr="00D617D2">
        <w:rPr>
          <w:sz w:val="20"/>
          <w:szCs w:val="20"/>
        </w:rPr>
        <w:br w:type="page"/>
      </w:r>
    </w:p>
    <w:p w:rsidR="001657BB" w:rsidRDefault="001657BB" w:rsidP="001657BB">
      <w:pPr>
        <w:pStyle w:val="Heading2"/>
        <w:spacing w:before="0" w:line="360" w:lineRule="auto"/>
      </w:pPr>
      <w:bookmarkStart w:id="1" w:name="_Toc30951297"/>
      <w:r w:rsidRPr="00727C36">
        <w:rPr>
          <w:color w:val="ED7D31" w:themeColor="accent2"/>
        </w:rPr>
        <w:lastRenderedPageBreak/>
        <w:t>Summary of activities</w:t>
      </w:r>
      <w:bookmarkEnd w:id="1"/>
    </w:p>
    <w:p w:rsidR="00003F06" w:rsidRPr="00F93647" w:rsidRDefault="00003F06" w:rsidP="00003F06">
      <w:pPr>
        <w:spacing w:after="0" w:line="360" w:lineRule="auto"/>
      </w:pPr>
      <w:r w:rsidRPr="00F93647">
        <w:t>From January to March 2019,</w:t>
      </w:r>
      <w:r>
        <w:t xml:space="preserve"> </w:t>
      </w:r>
      <w:r w:rsidRPr="00F93647">
        <w:t>one Spinterference contactless positioning system was fabricated by IGS Research in Tarragona while a control unit for the contactless positioning system was fabricated at the Institute of Rock Structure &amp; Mechanics ASCR.</w:t>
      </w:r>
      <w:r>
        <w:t xml:space="preserve"> During this period</w:t>
      </w:r>
      <w:r w:rsidRPr="00F93647">
        <w:t xml:space="preserve"> an exhaustive search of the published literature was made in order to compile a database of </w:t>
      </w:r>
      <w:r>
        <w:t xml:space="preserve">all </w:t>
      </w:r>
      <w:r w:rsidRPr="00F93647">
        <w:t xml:space="preserve">the archaeological and scientific research undertaken at Poole’s Cavern. This database has been used as the basis of a comprehensive literature review </w:t>
      </w:r>
      <w:r>
        <w:t>- which will be included in the final project report - while</w:t>
      </w:r>
      <w:r w:rsidRPr="00F93647">
        <w:t xml:space="preserve"> the references are presented in Appendix I.</w:t>
      </w:r>
      <w:r>
        <w:t xml:space="preserve"> </w:t>
      </w:r>
      <w:r w:rsidRPr="00F93647">
        <w:t>In March 2019, Matt Rowberry and Ivo Baroň travelled to Poole’s Cavern to record structural geological measurements inside the cave and to select a suitable monitoring point for the contactless positioning system.</w:t>
      </w:r>
      <w:r>
        <w:t xml:space="preserve"> </w:t>
      </w:r>
      <w:r w:rsidRPr="00F93647">
        <w:t xml:space="preserve">From April to June 2019, the contactless positioning system and its control unit were tested together in Prague while fast execution algorithms </w:t>
      </w:r>
      <w:r w:rsidRPr="00F93647">
        <w:rPr>
          <w:rFonts w:cs="Arial"/>
        </w:rPr>
        <w:t>for transforming magnetic field data into three dimensional displacement data were prepared by Carlos Frontera at the Institute of Materials Science of Barcelona.</w:t>
      </w:r>
      <w:r>
        <w:rPr>
          <w:rFonts w:cs="Arial"/>
        </w:rPr>
        <w:t xml:space="preserve"> </w:t>
      </w:r>
      <w:r w:rsidRPr="00F93647">
        <w:t>In June 2019, Matt Rowberry and Xavi Martí travelled to Poole’s Cavern to install the contactless positioning system across a conspicuous mechanical discontinuity in an otherwise coherent rock block in the Main Chamber</w:t>
      </w:r>
      <w:r w:rsidR="00C62EB6">
        <w:t xml:space="preserve"> (Figure 1)</w:t>
      </w:r>
      <w:r w:rsidRPr="00F93647">
        <w:t xml:space="preserve">. Ethernet cable </w:t>
      </w:r>
      <w:r>
        <w:t xml:space="preserve">had to be </w:t>
      </w:r>
      <w:r w:rsidRPr="00F93647">
        <w:t>laid in the cave to connect the monitoring point to the hut at the cave entrance while mains electricity supplies energy to the contactless positioning system and its control unit.</w:t>
      </w:r>
      <w:r>
        <w:t xml:space="preserve"> F</w:t>
      </w:r>
      <w:r w:rsidRPr="00F93647">
        <w:t xml:space="preserve">rom July 2019 to January 2020, the magnetic field data from Poole’s Cavern have been transmitted to a computing cluster at the Institute of Physics ASCR. These data are immediately transformed into three dimensional displacement data and plotted online in real time. </w:t>
      </w:r>
      <w:r>
        <w:t>Furthermore, t</w:t>
      </w:r>
      <w:r w:rsidRPr="00F93647">
        <w:t xml:space="preserve">he three dimensional displacement data are available </w:t>
      </w:r>
      <w:r>
        <w:t xml:space="preserve">for download </w:t>
      </w:r>
      <w:r w:rsidRPr="00F93647">
        <w:t xml:space="preserve">as txt files </w:t>
      </w:r>
      <w:r>
        <w:t>from:</w:t>
      </w:r>
      <w:r w:rsidRPr="00F93647">
        <w:t xml:space="preserve"> https://aspinai.eu/fzu/geo/uk1/. In October 2019, Matt Rowberry presented an outline of the project at the Cave Science Symposium, held at the British Geological Survey near Nottingham. In December 2019, he began to explore and analyse all the data from Poole’s Cavern - including those time series recorded by the Tinytag Loggers - with the aim of recognising meaningful patterns and trends. Unfortunately</w:t>
      </w:r>
      <w:r>
        <w:t>,</w:t>
      </w:r>
      <w:r w:rsidRPr="00F93647">
        <w:t xml:space="preserve"> significant relationships </w:t>
      </w:r>
      <w:bookmarkStart w:id="2" w:name="_GoBack"/>
      <w:bookmarkEnd w:id="2"/>
      <w:r>
        <w:t>are yet to be</w:t>
      </w:r>
      <w:r w:rsidRPr="00F93647">
        <w:t xml:space="preserve"> identified but a second attempt will be made in the first quarter of 2020. </w:t>
      </w:r>
    </w:p>
    <w:p w:rsidR="001657BB" w:rsidRPr="00EC26A8" w:rsidRDefault="001657BB" w:rsidP="00EC26A8">
      <w:pPr>
        <w:spacing w:after="0" w:line="360" w:lineRule="auto"/>
      </w:pPr>
    </w:p>
    <w:p w:rsidR="001657BB" w:rsidRDefault="001657BB" w:rsidP="001657BB">
      <w:pPr>
        <w:pStyle w:val="Heading2"/>
        <w:spacing w:before="0" w:line="360" w:lineRule="auto"/>
      </w:pPr>
      <w:bookmarkStart w:id="3" w:name="_Toc30951298"/>
      <w:r w:rsidRPr="00727C36">
        <w:rPr>
          <w:color w:val="ED7D31" w:themeColor="accent2"/>
        </w:rPr>
        <w:t>Summary of results</w:t>
      </w:r>
      <w:bookmarkEnd w:id="3"/>
    </w:p>
    <w:p w:rsidR="003B2129" w:rsidRDefault="003B2129" w:rsidP="003B2129">
      <w:pPr>
        <w:spacing w:after="0" w:line="360" w:lineRule="auto"/>
      </w:pPr>
      <w:r>
        <w:t xml:space="preserve">The fracture behaviour monitoring data obtained from Poole’s Cavern are plotted online in real time </w:t>
      </w:r>
      <w:r w:rsidR="007942F0">
        <w:t xml:space="preserve">as well as being </w:t>
      </w:r>
      <w:r>
        <w:t xml:space="preserve">available for download as txt files from: </w:t>
      </w:r>
      <w:r w:rsidRPr="00BC3B4E">
        <w:t>https://aspinai.eu/fzu/geo/uk1/</w:t>
      </w:r>
      <w:r>
        <w:t>. Until now the project has delivered one social media post on the facebook page of the British Cave Research Association and one conference presentation at the Cave Science Symposium while one manuscript - representing the final project report - is in preparation for Cave &amp; Karst Science</w:t>
      </w:r>
      <w:r w:rsidR="00C86B25">
        <w:t>:</w:t>
      </w:r>
    </w:p>
    <w:p w:rsidR="00C86B25" w:rsidRPr="000646AA" w:rsidRDefault="00C86B25" w:rsidP="00C86B25">
      <w:pPr>
        <w:spacing w:after="0" w:line="360" w:lineRule="auto"/>
        <w:ind w:left="567" w:hanging="567"/>
      </w:pPr>
      <w:r w:rsidRPr="000646AA">
        <w:lastRenderedPageBreak/>
        <w:t>Gunn, J., Rowberry, M., 2019. Rock stability monitoring in the British Cave Monitoring Centre at Poole’s Cavern. British Cave Research Association, Facebook, 14 August 2019.</w:t>
      </w:r>
    </w:p>
    <w:p w:rsidR="00C86B25" w:rsidRPr="000646AA" w:rsidRDefault="00C86B25" w:rsidP="00C86B25">
      <w:pPr>
        <w:spacing w:after="0" w:line="360" w:lineRule="auto"/>
        <w:ind w:left="567" w:hanging="567"/>
      </w:pPr>
      <w:r w:rsidRPr="000646AA">
        <w:t>Rowberry, M., Martí, X., Frontera, C., Baroň, I., 2019. Cave stability monitoring and its significance for environmental protection. BCRA Cave Science Symposium, 19-20 October 2019, British Geological Survey, UK.</w:t>
      </w:r>
    </w:p>
    <w:p w:rsidR="00C86B25" w:rsidRDefault="00C86B25" w:rsidP="00C86B25">
      <w:pPr>
        <w:spacing w:after="0" w:line="360" w:lineRule="auto"/>
        <w:ind w:left="567" w:hanging="567"/>
        <w:rPr>
          <w:rFonts w:cs="Arial"/>
        </w:rPr>
      </w:pPr>
      <w:r w:rsidRPr="000646AA">
        <w:rPr>
          <w:rFonts w:cs="Arial"/>
        </w:rPr>
        <w:t>Rowberry, M., Martí, X., Frontera, C., Baro</w:t>
      </w:r>
      <w:r w:rsidRPr="000646AA">
        <w:rPr>
          <w:rFonts w:cs="Times New Roman"/>
        </w:rPr>
        <w:t>ň, I.</w:t>
      </w:r>
      <w:r w:rsidRPr="000646AA">
        <w:rPr>
          <w:rFonts w:cs="Arial"/>
        </w:rPr>
        <w:t>, Garcés, J., 2020. 3D fracture behaviour monitoring presented online in real time from the British Cave Monitoring Centre. In preparation for: Cave and Karst Science.</w:t>
      </w:r>
    </w:p>
    <w:p w:rsidR="00C86B25" w:rsidRDefault="00C86B25" w:rsidP="00C86B25">
      <w:pPr>
        <w:spacing w:after="0" w:line="360" w:lineRule="auto"/>
      </w:pPr>
      <w:r>
        <w:t xml:space="preserve">Furthermore, it is hoped that a second manuscript will result from the comparison of data from Poole’s Cavern with data obtained from a similar installation at Castañar Cave in Spain. Indeed, as the </w:t>
      </w:r>
      <w:r w:rsidRPr="00F93647">
        <w:t xml:space="preserve">fracture </w:t>
      </w:r>
      <w:r>
        <w:t xml:space="preserve">behaviour </w:t>
      </w:r>
      <w:r w:rsidRPr="00F93647">
        <w:t xml:space="preserve">monitoring </w:t>
      </w:r>
      <w:r>
        <w:t xml:space="preserve">at Poole’s Cavern </w:t>
      </w:r>
      <w:r w:rsidRPr="00F93647">
        <w:t xml:space="preserve">will continue for an indefinite </w:t>
      </w:r>
      <w:r>
        <w:t>period, a number of additional outputs from this project are anticipated in the future.</w:t>
      </w:r>
    </w:p>
    <w:p w:rsidR="00C86B25" w:rsidRDefault="00C86B25" w:rsidP="003B2129">
      <w:pPr>
        <w:spacing w:after="0" w:line="360" w:lineRule="auto"/>
      </w:pPr>
    </w:p>
    <w:p w:rsidR="003C25FF" w:rsidRDefault="00F760FF" w:rsidP="00F760FF">
      <w:pPr>
        <w:spacing w:after="0" w:line="360" w:lineRule="auto"/>
        <w:ind w:left="567" w:hanging="567"/>
        <w:jc w:val="center"/>
      </w:pPr>
      <w:r>
        <w:rPr>
          <w:noProof/>
          <w:lang w:eastAsia="en-GB"/>
        </w:rPr>
        <w:drawing>
          <wp:inline distT="0" distB="0" distL="0" distR="0">
            <wp:extent cx="3600000" cy="2393784"/>
            <wp:effectExtent l="19050" t="19050" r="19685" b="260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terference 0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0" cy="2393784"/>
                    </a:xfrm>
                    <a:prstGeom prst="rect">
                      <a:avLst/>
                    </a:prstGeom>
                    <a:ln w="6350">
                      <a:solidFill>
                        <a:schemeClr val="accent2"/>
                      </a:solidFill>
                    </a:ln>
                  </pic:spPr>
                </pic:pic>
              </a:graphicData>
            </a:graphic>
          </wp:inline>
        </w:drawing>
      </w:r>
    </w:p>
    <w:p w:rsidR="00F760FF" w:rsidRDefault="00F760FF" w:rsidP="00F760FF">
      <w:pPr>
        <w:spacing w:after="0" w:line="360" w:lineRule="auto"/>
        <w:ind w:left="567" w:hanging="567"/>
        <w:jc w:val="center"/>
      </w:pPr>
      <w:r>
        <w:rPr>
          <w:noProof/>
          <w:lang w:eastAsia="en-GB"/>
        </w:rPr>
        <w:drawing>
          <wp:inline distT="0" distB="0" distL="0" distR="0">
            <wp:extent cx="3600000" cy="2393784"/>
            <wp:effectExtent l="19050" t="19050" r="19685" b="260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terference 04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0" cy="2393784"/>
                    </a:xfrm>
                    <a:prstGeom prst="rect">
                      <a:avLst/>
                    </a:prstGeom>
                    <a:ln w="6350">
                      <a:solidFill>
                        <a:schemeClr val="accent2"/>
                      </a:solidFill>
                    </a:ln>
                  </pic:spPr>
                </pic:pic>
              </a:graphicData>
            </a:graphic>
          </wp:inline>
        </w:drawing>
      </w:r>
    </w:p>
    <w:p w:rsidR="00F760FF" w:rsidRDefault="00F760FF" w:rsidP="00F760FF">
      <w:pPr>
        <w:spacing w:after="0" w:line="360" w:lineRule="auto"/>
        <w:ind w:left="993" w:hanging="993"/>
      </w:pPr>
      <w:r w:rsidRPr="00C62EB6">
        <w:rPr>
          <w:b/>
        </w:rPr>
        <w:t>Figure 1</w:t>
      </w:r>
      <w:r w:rsidRPr="00C62EB6">
        <w:tab/>
        <w:t xml:space="preserve">Installation of the </w:t>
      </w:r>
      <w:r w:rsidR="00C62EB6">
        <w:t xml:space="preserve">Spinterference </w:t>
      </w:r>
      <w:r w:rsidRPr="00C62EB6">
        <w:t>contactless positioning system across a conspicuous mechanical discontinuity in an otherwise coherent rock block in the Main Chamber.</w:t>
      </w:r>
    </w:p>
    <w:p w:rsidR="001657BB" w:rsidRPr="00727C36" w:rsidRDefault="001657BB" w:rsidP="001657BB">
      <w:pPr>
        <w:pStyle w:val="Heading2"/>
        <w:spacing w:before="0" w:line="360" w:lineRule="auto"/>
        <w:rPr>
          <w:color w:val="ED7D31" w:themeColor="accent2"/>
        </w:rPr>
      </w:pPr>
      <w:bookmarkStart w:id="4" w:name="_Toc30951299"/>
      <w:r w:rsidRPr="00727C36">
        <w:rPr>
          <w:color w:val="ED7D31" w:themeColor="accent2"/>
        </w:rPr>
        <w:lastRenderedPageBreak/>
        <w:t>Financial expenditure</w:t>
      </w:r>
      <w:bookmarkEnd w:id="4"/>
    </w:p>
    <w:p w:rsidR="00A95AFB" w:rsidRPr="00655D27" w:rsidRDefault="00A8202A" w:rsidP="00A95AFB">
      <w:pPr>
        <w:spacing w:after="0" w:line="360" w:lineRule="auto"/>
      </w:pPr>
      <w:r w:rsidRPr="00655D27">
        <w:t xml:space="preserve">In the original application it was estimated that the project would cost a total of 3 270 GBP while the BCRA Cave Science &amp; Technology Research Fund and the British Cave Monitoring Centre were able to provide the applicants with a total of 3 000 GBP. To manage this funding shortfall it was decided that a small proportion of the material and travel costs could be covered by the Institute of Physics ASCR through their Horizon 2020 antiferromagnetic spintronics project ASPIN. In terms of material costs, the total amount spent came to 1 589.56 GBP, </w:t>
      </w:r>
      <w:r w:rsidRPr="00655D27">
        <w:rPr>
          <w:color w:val="000000"/>
        </w:rPr>
        <w:t>compared to the original estimate of 1 850 GBP. In detail, t</w:t>
      </w:r>
      <w:r w:rsidRPr="00655D27">
        <w:t xml:space="preserve">he total amount spent on the contactless positioning system came to </w:t>
      </w:r>
      <w:r w:rsidRPr="00655D27">
        <w:rPr>
          <w:color w:val="000000"/>
        </w:rPr>
        <w:t xml:space="preserve">1 253.26 GBP, compared to the original estimate of 1 320 GBP, while the total amount spent on </w:t>
      </w:r>
      <w:r w:rsidRPr="00655D27">
        <w:t>components for the control unit came to 336.30 GBP</w:t>
      </w:r>
      <w:r w:rsidRPr="00655D27">
        <w:rPr>
          <w:color w:val="000000"/>
        </w:rPr>
        <w:t>, compared to the original estimate of 530 GBP</w:t>
      </w:r>
      <w:r w:rsidRPr="00655D27">
        <w:t xml:space="preserve">. Here savings reflect the fact that many of the cheaper components for the control unit were purchased through ASPIN. These savings were offset slightly by unforeseen costs such as non-sterling transactions fees levied by the Cooperative Bank and duties levied by the Czech authorities on items imported from Switzerland. In terms of travel expenditure, the total amount spent came to 1 419.29 GBP, compared </w:t>
      </w:r>
      <w:r w:rsidRPr="00655D27">
        <w:rPr>
          <w:color w:val="000000"/>
        </w:rPr>
        <w:t>to the original estimate of 1 420 GBP, despite the fact that three trips, rather than two, were made to the United Kingdom. The first and second trips related to fieldwork in Poole’s Cavern while the third related to outlining the project at the Cave Science Symposium on 19 October 2019. In detail, the total amount spent on flights came to 668.15 GBP, compared to the original estimate of 600 GBP, the total amount spent on subsistence came to 220 GBP, compared to the original estimate of 500 GBP, the total amount spent on accommodation came to 197.70 GBP, compared to the original estimate of 160 GBP, while the total amount spent on car hire - including fuel and insurance - and public transport came to 333.44 GBP, compared to the original estimate of 160 GBP. The opportunity for Matt Rowberry to attend the Cave Science Symposium resulted from the fact that the ASPIN project paid for Xavi Martí to fly to the UK in June 2019. Consequently the total amount spent during the course of the project came to 3 008.85 GBP. All the relevant invoices are kept at the Institute of Rock Structure &amp; Mechanics ASCR while an itemised statement is given in Appendix II.</w:t>
      </w:r>
      <w:r w:rsidR="00A95AFB" w:rsidRPr="00655D27">
        <w:t xml:space="preserve"> </w:t>
      </w:r>
    </w:p>
    <w:p w:rsidR="001657BB" w:rsidRPr="00655D27" w:rsidRDefault="001657BB" w:rsidP="001657BB">
      <w:pPr>
        <w:spacing w:after="0" w:line="360" w:lineRule="auto"/>
      </w:pPr>
      <w:r w:rsidRPr="00655D27">
        <w:br w:type="page"/>
      </w:r>
    </w:p>
    <w:p w:rsidR="009A40E7" w:rsidRPr="009A40E7" w:rsidRDefault="00727C36" w:rsidP="009A40E7">
      <w:pPr>
        <w:pStyle w:val="Heading2"/>
        <w:spacing w:before="0" w:line="360" w:lineRule="auto"/>
        <w:rPr>
          <w:color w:val="ED7D31" w:themeColor="accent2"/>
        </w:rPr>
      </w:pPr>
      <w:bookmarkStart w:id="5" w:name="_Toc30951300"/>
      <w:r w:rsidRPr="009A40E7">
        <w:rPr>
          <w:color w:val="ED7D31" w:themeColor="accent2"/>
        </w:rPr>
        <w:t xml:space="preserve">Appendix I: </w:t>
      </w:r>
      <w:r w:rsidR="00905A34">
        <w:rPr>
          <w:color w:val="ED7D31" w:themeColor="accent2"/>
        </w:rPr>
        <w:t>Scientific research at Poole’s Cavern</w:t>
      </w:r>
      <w:bookmarkEnd w:id="5"/>
    </w:p>
    <w:p w:rsidR="00905A34" w:rsidRPr="00EC2228" w:rsidRDefault="00905A34" w:rsidP="00905A34">
      <w:pPr>
        <w:pStyle w:val="CitaviBibliography"/>
        <w:tabs>
          <w:tab w:val="left" w:pos="567"/>
        </w:tabs>
        <w:spacing w:line="336" w:lineRule="auto"/>
        <w:ind w:left="567" w:hanging="567"/>
        <w:rPr>
          <w:rFonts w:asciiTheme="minorHAnsi" w:hAnsiTheme="minorHAnsi" w:cs="Arial"/>
          <w:szCs w:val="20"/>
        </w:rPr>
      </w:pPr>
      <w:r w:rsidRPr="00EC2228">
        <w:rPr>
          <w:rFonts w:asciiTheme="minorHAnsi" w:hAnsiTheme="minorHAnsi" w:cs="Arial"/>
          <w:szCs w:val="20"/>
        </w:rPr>
        <w:t>Baker, A., Jones, A., Genty, D., 1998. Extraordinarily fast stalagmite deposition in Poole’s Cavern, Buxton. Cave and Karst Science, v. 25, p. 37.</w:t>
      </w:r>
    </w:p>
    <w:p w:rsidR="00905A34" w:rsidRPr="00EC2228" w:rsidRDefault="00905A34" w:rsidP="00905A34">
      <w:pPr>
        <w:pStyle w:val="CitaviBibliography"/>
        <w:tabs>
          <w:tab w:val="left" w:pos="567"/>
        </w:tabs>
        <w:spacing w:line="336" w:lineRule="auto"/>
        <w:ind w:left="567" w:hanging="567"/>
        <w:rPr>
          <w:rFonts w:asciiTheme="minorHAnsi" w:hAnsiTheme="minorHAnsi" w:cs="Arial"/>
          <w:szCs w:val="20"/>
        </w:rPr>
      </w:pPr>
      <w:r w:rsidRPr="00EC2228">
        <w:rPr>
          <w:rFonts w:asciiTheme="minorHAnsi" w:hAnsiTheme="minorHAnsi" w:cs="Arial"/>
          <w:szCs w:val="20"/>
        </w:rPr>
        <w:t>Baker, A., Proctor, C., Barnes, W., 1999a. Variations in stalagmite luminescence laminae structure at Poole's Cavern, England, AD 1910-1996. Holocene, v. 9, p. 683-688.</w:t>
      </w:r>
    </w:p>
    <w:p w:rsidR="00905A34" w:rsidRPr="00EC2228" w:rsidRDefault="00905A34" w:rsidP="00905A34">
      <w:pPr>
        <w:pStyle w:val="CitaviBibliography"/>
        <w:tabs>
          <w:tab w:val="left" w:pos="567"/>
        </w:tabs>
        <w:spacing w:line="336" w:lineRule="auto"/>
        <w:ind w:left="567" w:hanging="567"/>
        <w:rPr>
          <w:rFonts w:asciiTheme="minorHAnsi" w:hAnsiTheme="minorHAnsi" w:cs="Arial"/>
          <w:szCs w:val="20"/>
        </w:rPr>
      </w:pPr>
      <w:r w:rsidRPr="00EC2228">
        <w:rPr>
          <w:rFonts w:asciiTheme="minorHAnsi" w:hAnsiTheme="minorHAnsi" w:cs="Arial"/>
          <w:szCs w:val="20"/>
        </w:rPr>
        <w:t>Baker, A., Proctor, C., Bolton, L., Barnes, W., 1999b. Historical climate records from annually laminated stalagmites in Poole’s Cavern, Buxton, Derbyshire, UK. Cave and Karst Science, v. 26, p. 41.</w:t>
      </w:r>
    </w:p>
    <w:p w:rsidR="00905A34" w:rsidRPr="00EC2228" w:rsidRDefault="00905A34" w:rsidP="00905A34">
      <w:pPr>
        <w:tabs>
          <w:tab w:val="left" w:pos="567"/>
        </w:tabs>
        <w:spacing w:after="0" w:line="336" w:lineRule="auto"/>
        <w:ind w:left="567" w:hanging="567"/>
        <w:rPr>
          <w:sz w:val="20"/>
          <w:szCs w:val="20"/>
        </w:rPr>
      </w:pPr>
      <w:r w:rsidRPr="00EC2228">
        <w:rPr>
          <w:sz w:val="20"/>
          <w:szCs w:val="20"/>
        </w:rPr>
        <w:t>Blewett, P., 2019. The Tinytag Connect System and its application in the British Cave Monitoring Centre. CREG Journal, v. 108, p. 17-20.</w:t>
      </w:r>
    </w:p>
    <w:p w:rsidR="00905A34" w:rsidRPr="00EC2228" w:rsidRDefault="00905A34" w:rsidP="00905A34">
      <w:pPr>
        <w:pStyle w:val="CitaviBibliography"/>
        <w:tabs>
          <w:tab w:val="left" w:pos="567"/>
        </w:tabs>
        <w:spacing w:line="336" w:lineRule="auto"/>
        <w:ind w:left="567" w:hanging="567"/>
        <w:rPr>
          <w:rFonts w:asciiTheme="minorHAnsi" w:hAnsiTheme="minorHAnsi" w:cs="Arial"/>
          <w:szCs w:val="20"/>
        </w:rPr>
      </w:pPr>
      <w:r w:rsidRPr="00EC2228">
        <w:rPr>
          <w:rFonts w:asciiTheme="minorHAnsi" w:hAnsiTheme="minorHAnsi" w:cs="Arial"/>
          <w:szCs w:val="20"/>
        </w:rPr>
        <w:t>Bramwell, D., Dalton, K., Drinkwater, J., Hassall, J., Lorimer, K., Mackreth, K., 1983. Excavations at Poole’s Cavern, Buxton. Derbyshire Archaeological Journal, v. 103, p. 47-74.</w:t>
      </w:r>
    </w:p>
    <w:p w:rsidR="00905A34" w:rsidRPr="00EC2228" w:rsidRDefault="00905A34" w:rsidP="00905A34">
      <w:pPr>
        <w:pStyle w:val="CitaviBibliography"/>
        <w:tabs>
          <w:tab w:val="left" w:pos="567"/>
        </w:tabs>
        <w:spacing w:line="336" w:lineRule="auto"/>
        <w:ind w:left="567" w:hanging="567"/>
        <w:rPr>
          <w:rFonts w:asciiTheme="minorHAnsi" w:hAnsiTheme="minorHAnsi" w:cs="Arial"/>
          <w:szCs w:val="20"/>
        </w:rPr>
      </w:pPr>
      <w:r w:rsidRPr="00EC2228">
        <w:rPr>
          <w:rFonts w:asciiTheme="minorHAnsi" w:hAnsiTheme="minorHAnsi" w:cs="Arial"/>
          <w:szCs w:val="20"/>
        </w:rPr>
        <w:t>Branigan, K., Bayley, J., 1989. The Romano-British metalwork from Poole's Cavern, Buxton. Derbyshire Archaeological Journal, v. 109, p. 34-50.</w:t>
      </w:r>
    </w:p>
    <w:p w:rsidR="00905A34" w:rsidRPr="00EC2228" w:rsidRDefault="00905A34" w:rsidP="00905A34">
      <w:pPr>
        <w:pStyle w:val="CitaviBibliography"/>
        <w:tabs>
          <w:tab w:val="left" w:pos="567"/>
        </w:tabs>
        <w:spacing w:line="336" w:lineRule="auto"/>
        <w:ind w:left="567" w:hanging="567"/>
        <w:rPr>
          <w:rFonts w:asciiTheme="minorHAnsi" w:hAnsiTheme="minorHAnsi" w:cs="Arial"/>
          <w:szCs w:val="20"/>
        </w:rPr>
      </w:pPr>
      <w:r w:rsidRPr="00EC2228">
        <w:rPr>
          <w:rFonts w:asciiTheme="minorHAnsi" w:hAnsiTheme="minorHAnsi" w:cs="Arial"/>
          <w:szCs w:val="20"/>
        </w:rPr>
        <w:t>Crofton, D., 1866. On vestiges of ancient human habitations in Poole’s Cavern, Derbyshire. Proceedings of the Royal Irish Academy, v. 9, p. 536-539.</w:t>
      </w:r>
    </w:p>
    <w:p w:rsidR="00905A34" w:rsidRPr="00EC2228" w:rsidRDefault="00905A34" w:rsidP="00905A34">
      <w:pPr>
        <w:pStyle w:val="CitaviBibliography"/>
        <w:tabs>
          <w:tab w:val="left" w:pos="567"/>
        </w:tabs>
        <w:spacing w:line="336" w:lineRule="auto"/>
        <w:ind w:left="567" w:hanging="567"/>
        <w:rPr>
          <w:rFonts w:asciiTheme="minorHAnsi" w:hAnsiTheme="minorHAnsi" w:cs="Arial"/>
          <w:szCs w:val="20"/>
        </w:rPr>
      </w:pPr>
      <w:r w:rsidRPr="00EC2228">
        <w:rPr>
          <w:rFonts w:asciiTheme="minorHAnsi" w:hAnsiTheme="minorHAnsi" w:cs="Arial"/>
          <w:szCs w:val="20"/>
        </w:rPr>
        <w:t>Eddies, R., Walker, A., 1998. Poole’s Cavern probing. Caves and Caving, v. 80, p. 7.</w:t>
      </w:r>
    </w:p>
    <w:p w:rsidR="00905A34" w:rsidRPr="00EC2228" w:rsidRDefault="00905A34" w:rsidP="00905A34">
      <w:pPr>
        <w:pStyle w:val="CitaviBibliography"/>
        <w:tabs>
          <w:tab w:val="left" w:pos="567"/>
        </w:tabs>
        <w:spacing w:line="336" w:lineRule="auto"/>
        <w:ind w:left="567" w:hanging="567"/>
        <w:rPr>
          <w:rFonts w:asciiTheme="minorHAnsi" w:hAnsiTheme="minorHAnsi" w:cs="Arial"/>
          <w:szCs w:val="20"/>
        </w:rPr>
      </w:pPr>
      <w:r w:rsidRPr="00EC2228">
        <w:rPr>
          <w:rFonts w:asciiTheme="minorHAnsi" w:hAnsiTheme="minorHAnsi" w:cs="Arial"/>
          <w:szCs w:val="20"/>
        </w:rPr>
        <w:t>Glennie, E., 1953. Hydrological tests at Poole’s Cavern, Buxton, Derbyshire. Newsletter of the Cave Research Group of Great Britain, v. 45-46, p. 5-10.</w:t>
      </w:r>
    </w:p>
    <w:p w:rsidR="00905A34" w:rsidRPr="00EC2228" w:rsidRDefault="00905A34" w:rsidP="00905A34">
      <w:pPr>
        <w:tabs>
          <w:tab w:val="left" w:pos="567"/>
        </w:tabs>
        <w:spacing w:after="0" w:line="336" w:lineRule="auto"/>
        <w:ind w:left="567" w:hanging="567"/>
        <w:rPr>
          <w:rFonts w:cs="Arial"/>
          <w:sz w:val="20"/>
          <w:szCs w:val="20"/>
        </w:rPr>
      </w:pPr>
      <w:r w:rsidRPr="00EC2228">
        <w:rPr>
          <w:rFonts w:cs="Arial"/>
          <w:sz w:val="20"/>
          <w:szCs w:val="20"/>
        </w:rPr>
        <w:t>Hartland, A., Fairchild, I., Lead, J., Dominguez Villar, D., Baker, A., Gunn, J., Baalousha, M., Ju-Nam, Y., 2009. The dripwaters and speleothems of Poole's Cavern. Cave and Karst Science, v. 36, p. 37-46.</w:t>
      </w:r>
    </w:p>
    <w:p w:rsidR="00905A34" w:rsidRPr="00EC2228" w:rsidRDefault="00905A34" w:rsidP="00905A34">
      <w:pPr>
        <w:pStyle w:val="CitaviBibliography"/>
        <w:tabs>
          <w:tab w:val="left" w:pos="567"/>
        </w:tabs>
        <w:spacing w:line="336" w:lineRule="auto"/>
        <w:ind w:left="567" w:hanging="567"/>
        <w:rPr>
          <w:rFonts w:asciiTheme="minorHAnsi" w:hAnsiTheme="minorHAnsi" w:cs="Arial"/>
          <w:szCs w:val="20"/>
        </w:rPr>
      </w:pPr>
      <w:r w:rsidRPr="00EC2228">
        <w:rPr>
          <w:rFonts w:asciiTheme="minorHAnsi" w:hAnsiTheme="minorHAnsi" w:cs="Arial"/>
          <w:szCs w:val="20"/>
        </w:rPr>
        <w:t>Hartland, A., Fairchild, I., Lead, J., Baker, A., 2010. Fluorescent properties of organic carbon in cave dripwaters. Science of the Total Environment, v. 408, p. 5940-5950.</w:t>
      </w:r>
    </w:p>
    <w:p w:rsidR="00905A34" w:rsidRPr="00EC2228" w:rsidRDefault="00905A34" w:rsidP="00905A34">
      <w:pPr>
        <w:pStyle w:val="CitaviBibliography"/>
        <w:tabs>
          <w:tab w:val="left" w:pos="567"/>
        </w:tabs>
        <w:spacing w:line="336" w:lineRule="auto"/>
        <w:ind w:left="567" w:hanging="567"/>
        <w:rPr>
          <w:rFonts w:asciiTheme="minorHAnsi" w:hAnsiTheme="minorHAnsi" w:cs="Arial"/>
          <w:szCs w:val="20"/>
        </w:rPr>
      </w:pPr>
      <w:r w:rsidRPr="00EC2228">
        <w:rPr>
          <w:rFonts w:asciiTheme="minorHAnsi" w:hAnsiTheme="minorHAnsi" w:cs="Arial"/>
          <w:szCs w:val="20"/>
        </w:rPr>
        <w:t>Hartland, A., Fairchild, I., Lead, J., Zhang, H., Baalousha, M., 2011. Size, speciation, and lability of NOM-metal complexes in hyperalkaline cave dripwater. Geochimica et Cosmochimica Acta, v. 75, p. 7533-7551.</w:t>
      </w:r>
    </w:p>
    <w:p w:rsidR="00905A34" w:rsidRPr="00EC2228" w:rsidRDefault="00905A34" w:rsidP="00905A34">
      <w:pPr>
        <w:pStyle w:val="CitaviBibliography"/>
        <w:tabs>
          <w:tab w:val="left" w:pos="567"/>
        </w:tabs>
        <w:spacing w:line="336" w:lineRule="auto"/>
        <w:ind w:left="567" w:hanging="567"/>
        <w:rPr>
          <w:rFonts w:asciiTheme="minorHAnsi" w:hAnsiTheme="minorHAnsi" w:cs="Arial"/>
          <w:szCs w:val="20"/>
        </w:rPr>
      </w:pPr>
      <w:r w:rsidRPr="00EC2228">
        <w:rPr>
          <w:rFonts w:asciiTheme="minorHAnsi" w:hAnsiTheme="minorHAnsi" w:cs="Arial"/>
          <w:szCs w:val="20"/>
        </w:rPr>
        <w:t>Hartland, A., Fairchild, I., Lead, J., Borsato, A., Baker, A., Frisia, S., Baalousha, M., 2012. From soil to cave: transport of trace metals by natural organic matter in karst dripwaters. Chemical Geology, v. 304-305, p. 68-82.</w:t>
      </w:r>
    </w:p>
    <w:p w:rsidR="00905A34" w:rsidRPr="00EC2228" w:rsidRDefault="00905A34" w:rsidP="00905A34">
      <w:pPr>
        <w:pStyle w:val="CitaviBibliography"/>
        <w:tabs>
          <w:tab w:val="left" w:pos="567"/>
        </w:tabs>
        <w:spacing w:line="336" w:lineRule="auto"/>
        <w:ind w:left="567" w:hanging="567"/>
        <w:rPr>
          <w:rFonts w:asciiTheme="minorHAnsi" w:hAnsiTheme="minorHAnsi" w:cs="Arial"/>
          <w:szCs w:val="20"/>
        </w:rPr>
      </w:pPr>
      <w:r w:rsidRPr="00EC2228">
        <w:rPr>
          <w:rFonts w:asciiTheme="minorHAnsi" w:hAnsiTheme="minorHAnsi" w:cs="Arial"/>
          <w:szCs w:val="20"/>
        </w:rPr>
        <w:t>Hartland, A., Fairchild, I., Müller, W., Dominguez Villar, D., 2014. Preservation of NOM-metal complexes in a modern hyperalkaline stalagmite. Geochimica et Cosmochimica Acta, v. 128, p. 29-43.</w:t>
      </w:r>
    </w:p>
    <w:p w:rsidR="00905A34" w:rsidRPr="00EC2228" w:rsidRDefault="00905A34" w:rsidP="00905A34">
      <w:pPr>
        <w:tabs>
          <w:tab w:val="left" w:pos="567"/>
        </w:tabs>
        <w:spacing w:after="0" w:line="336" w:lineRule="auto"/>
        <w:ind w:left="567" w:hanging="567"/>
        <w:rPr>
          <w:rFonts w:cs="Arial"/>
          <w:sz w:val="20"/>
          <w:szCs w:val="20"/>
        </w:rPr>
      </w:pPr>
      <w:r w:rsidRPr="00EC2228">
        <w:rPr>
          <w:rFonts w:cs="Arial"/>
          <w:sz w:val="20"/>
          <w:szCs w:val="20"/>
        </w:rPr>
        <w:t>Newton, K., Fairchild, I., Gunn, J., 2015. Rates of calcite precipitation from hyperalkaline waters, Poole's Cavern, Derbyshire, UK. Cave and Karst Science, v. 42, p. 116-124.</w:t>
      </w:r>
    </w:p>
    <w:p w:rsidR="00905A34" w:rsidRPr="00EC2228" w:rsidRDefault="00905A34" w:rsidP="00905A34">
      <w:pPr>
        <w:pStyle w:val="CitaviBibliography"/>
        <w:tabs>
          <w:tab w:val="left" w:pos="567"/>
        </w:tabs>
        <w:spacing w:line="336" w:lineRule="auto"/>
        <w:ind w:left="567" w:hanging="567"/>
        <w:rPr>
          <w:rFonts w:asciiTheme="minorHAnsi" w:hAnsiTheme="minorHAnsi" w:cs="Arial"/>
          <w:szCs w:val="20"/>
        </w:rPr>
      </w:pPr>
      <w:r w:rsidRPr="00EC2228">
        <w:rPr>
          <w:rFonts w:asciiTheme="minorHAnsi" w:hAnsiTheme="minorHAnsi" w:cs="Arial"/>
          <w:szCs w:val="20"/>
        </w:rPr>
        <w:t>Pitty, A., 1966. An approach to the study of karst water illustrated by results from Poole's Cavern, Buxton. University of Hull, Occasional Papers in Geography, v. 5, p. 210-230.</w:t>
      </w:r>
    </w:p>
    <w:p w:rsidR="00905A34" w:rsidRPr="00EC2228" w:rsidRDefault="00905A34" w:rsidP="00905A34">
      <w:pPr>
        <w:pStyle w:val="CitaviBibliography"/>
        <w:tabs>
          <w:tab w:val="left" w:pos="567"/>
        </w:tabs>
        <w:spacing w:line="336" w:lineRule="auto"/>
        <w:ind w:left="567" w:hanging="567"/>
        <w:rPr>
          <w:rFonts w:asciiTheme="minorHAnsi" w:hAnsiTheme="minorHAnsi" w:cs="Arial"/>
          <w:szCs w:val="20"/>
        </w:rPr>
      </w:pPr>
      <w:r w:rsidRPr="00EC2228">
        <w:rPr>
          <w:rFonts w:asciiTheme="minorHAnsi" w:hAnsiTheme="minorHAnsi" w:cs="Arial"/>
          <w:szCs w:val="20"/>
        </w:rPr>
        <w:t>Smithson, P., 1991. Interrelationships between cave and outside air temperatures. Theoretical and Applied Climatology, v. 44, p. 65-73.</w:t>
      </w:r>
    </w:p>
    <w:p w:rsidR="00905A34" w:rsidRPr="00EC2228" w:rsidRDefault="00905A34" w:rsidP="00905A34">
      <w:pPr>
        <w:pStyle w:val="CitaviBibliography"/>
        <w:tabs>
          <w:tab w:val="left" w:pos="567"/>
        </w:tabs>
        <w:spacing w:line="336" w:lineRule="auto"/>
        <w:ind w:left="567" w:hanging="567"/>
        <w:rPr>
          <w:rFonts w:asciiTheme="minorHAnsi" w:hAnsiTheme="minorHAnsi" w:cs="Arial"/>
          <w:szCs w:val="20"/>
        </w:rPr>
      </w:pPr>
      <w:r w:rsidRPr="00EC2228">
        <w:rPr>
          <w:rFonts w:asciiTheme="minorHAnsi" w:hAnsiTheme="minorHAnsi" w:cs="Arial"/>
          <w:szCs w:val="20"/>
        </w:rPr>
        <w:t>Smithson, P., 1993. Vertical temperature structure in a cave environment. Geoarchaeology, v. 8, p. 229-240.</w:t>
      </w:r>
    </w:p>
    <w:p w:rsidR="00905A34" w:rsidRPr="00EC2228" w:rsidRDefault="00905A34" w:rsidP="00905A34">
      <w:pPr>
        <w:pStyle w:val="CitaviBibliography"/>
        <w:tabs>
          <w:tab w:val="left" w:pos="567"/>
        </w:tabs>
        <w:spacing w:line="336" w:lineRule="auto"/>
        <w:ind w:left="567" w:hanging="567"/>
        <w:rPr>
          <w:rFonts w:asciiTheme="minorHAnsi" w:hAnsiTheme="minorHAnsi" w:cs="Arial"/>
          <w:szCs w:val="20"/>
        </w:rPr>
      </w:pPr>
      <w:r w:rsidRPr="00EC2228">
        <w:rPr>
          <w:rFonts w:asciiTheme="minorHAnsi" w:hAnsiTheme="minorHAnsi" w:cs="Arial"/>
          <w:szCs w:val="20"/>
        </w:rPr>
        <w:t>Smithson, P., Branigan, K., 1992. Poole's Cavern, Buxton - investigation of a Romano-British working environment. Derbyshire Archaeological Journal, v. 111, p. 40-45.</w:t>
      </w:r>
    </w:p>
    <w:p w:rsidR="00727C36" w:rsidRPr="00905A34" w:rsidRDefault="00905A34" w:rsidP="00905A34">
      <w:pPr>
        <w:pStyle w:val="CitaviBibliography"/>
        <w:tabs>
          <w:tab w:val="left" w:pos="567"/>
        </w:tabs>
        <w:spacing w:line="336" w:lineRule="auto"/>
        <w:ind w:left="567" w:hanging="567"/>
        <w:rPr>
          <w:rFonts w:asciiTheme="minorHAnsi" w:hAnsiTheme="minorHAnsi" w:cs="Arial"/>
          <w:szCs w:val="20"/>
        </w:rPr>
      </w:pPr>
      <w:r w:rsidRPr="00EC2228">
        <w:rPr>
          <w:rFonts w:asciiTheme="minorHAnsi" w:hAnsiTheme="minorHAnsi" w:cs="Arial"/>
          <w:szCs w:val="20"/>
        </w:rPr>
        <w:t>Watkin, W., 1887. Recent Roman discoveries in Britain. The Reliquary: Quarterly Archaeological Journal &amp; Review, v. 1, New Series, p. 106-109.</w:t>
      </w:r>
      <w:r w:rsidR="00727C36">
        <w:br w:type="page"/>
      </w:r>
    </w:p>
    <w:p w:rsidR="00E60F9C" w:rsidRDefault="00727C36" w:rsidP="00E60F9C">
      <w:pPr>
        <w:pStyle w:val="Heading2"/>
        <w:spacing w:before="0" w:line="360" w:lineRule="auto"/>
        <w:rPr>
          <w:color w:val="ED7D31" w:themeColor="accent2"/>
        </w:rPr>
      </w:pPr>
      <w:bookmarkStart w:id="6" w:name="_Toc30951301"/>
      <w:r>
        <w:rPr>
          <w:color w:val="ED7D31" w:themeColor="accent2"/>
        </w:rPr>
        <w:t xml:space="preserve">Appendix II: </w:t>
      </w:r>
      <w:r w:rsidR="009A40E7">
        <w:rPr>
          <w:color w:val="ED7D31" w:themeColor="accent2"/>
        </w:rPr>
        <w:t>Itemised statement</w:t>
      </w:r>
      <w:bookmarkEnd w:id="6"/>
    </w:p>
    <w:tbl>
      <w:tblPr>
        <w:tblW w:w="9180" w:type="dxa"/>
        <w:tblLook w:val="04A0" w:firstRow="1" w:lastRow="0" w:firstColumn="1" w:lastColumn="0" w:noHBand="0" w:noVBand="1"/>
      </w:tblPr>
      <w:tblGrid>
        <w:gridCol w:w="1316"/>
        <w:gridCol w:w="1666"/>
        <w:gridCol w:w="5027"/>
        <w:gridCol w:w="1171"/>
      </w:tblGrid>
      <w:tr w:rsidR="00E60F9C" w:rsidRPr="00C86B25" w:rsidTr="006D29A3">
        <w:trPr>
          <w:trHeight w:val="454"/>
        </w:trPr>
        <w:tc>
          <w:tcPr>
            <w:tcW w:w="1308" w:type="dxa"/>
            <w:tcBorders>
              <w:top w:val="thinThickSmallGap" w:sz="12" w:space="0" w:color="auto"/>
              <w:left w:val="nil"/>
              <w:bottom w:val="single" w:sz="4" w:space="0" w:color="auto"/>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eastAsia="Times New Roman" w:hAnsi="Calibri" w:cs="Times New Roman"/>
                <w:b/>
                <w:bCs/>
                <w:color w:val="000000"/>
                <w:sz w:val="20"/>
                <w:szCs w:val="20"/>
                <w:lang w:eastAsia="en-GB"/>
              </w:rPr>
            </w:pPr>
            <w:r w:rsidRPr="00C86B25">
              <w:rPr>
                <w:rFonts w:ascii="Calibri" w:eastAsia="Times New Roman" w:hAnsi="Calibri" w:cs="Times New Roman"/>
                <w:b/>
                <w:bCs/>
                <w:color w:val="000000"/>
                <w:sz w:val="20"/>
                <w:szCs w:val="20"/>
                <w:lang w:eastAsia="en-GB"/>
              </w:rPr>
              <w:t>Date</w:t>
            </w:r>
          </w:p>
        </w:tc>
        <w:tc>
          <w:tcPr>
            <w:tcW w:w="1690" w:type="dxa"/>
            <w:tcBorders>
              <w:top w:val="thinThickSmallGap" w:sz="12" w:space="0" w:color="auto"/>
              <w:left w:val="nil"/>
              <w:bottom w:val="single" w:sz="4" w:space="0" w:color="auto"/>
              <w:right w:val="nil"/>
            </w:tcBorders>
            <w:vAlign w:val="center"/>
          </w:tcPr>
          <w:p w:rsidR="00E60F9C" w:rsidRPr="00C86B25" w:rsidRDefault="00E60F9C" w:rsidP="00AC5E8F">
            <w:pPr>
              <w:spacing w:before="60" w:after="60" w:line="240" w:lineRule="auto"/>
              <w:jc w:val="center"/>
              <w:rPr>
                <w:rFonts w:ascii="Calibri" w:eastAsia="Times New Roman" w:hAnsi="Calibri" w:cs="Times New Roman"/>
                <w:b/>
                <w:bCs/>
                <w:color w:val="000000"/>
                <w:sz w:val="20"/>
                <w:szCs w:val="20"/>
                <w:lang w:eastAsia="en-GB"/>
              </w:rPr>
            </w:pPr>
            <w:r w:rsidRPr="00C86B25">
              <w:rPr>
                <w:rFonts w:ascii="Calibri" w:eastAsia="Times New Roman" w:hAnsi="Calibri" w:cs="Times New Roman"/>
                <w:b/>
                <w:bCs/>
                <w:color w:val="000000"/>
                <w:sz w:val="20"/>
                <w:szCs w:val="20"/>
                <w:lang w:eastAsia="en-GB"/>
              </w:rPr>
              <w:t>Type</w:t>
            </w:r>
          </w:p>
        </w:tc>
        <w:tc>
          <w:tcPr>
            <w:tcW w:w="5019" w:type="dxa"/>
            <w:tcBorders>
              <w:top w:val="thinThickSmallGap" w:sz="12" w:space="0" w:color="auto"/>
              <w:left w:val="nil"/>
              <w:bottom w:val="single" w:sz="4" w:space="0" w:color="auto"/>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eastAsia="Times New Roman" w:hAnsi="Calibri" w:cs="Times New Roman"/>
                <w:b/>
                <w:bCs/>
                <w:color w:val="000000"/>
                <w:sz w:val="20"/>
                <w:szCs w:val="20"/>
                <w:lang w:eastAsia="en-GB"/>
              </w:rPr>
            </w:pPr>
            <w:r w:rsidRPr="00C86B25">
              <w:rPr>
                <w:rFonts w:ascii="Calibri" w:eastAsia="Times New Roman" w:hAnsi="Calibri" w:cs="Times New Roman"/>
                <w:b/>
                <w:bCs/>
                <w:color w:val="000000"/>
                <w:sz w:val="20"/>
                <w:szCs w:val="20"/>
                <w:lang w:eastAsia="en-GB"/>
              </w:rPr>
              <w:t>Description</w:t>
            </w:r>
          </w:p>
        </w:tc>
        <w:tc>
          <w:tcPr>
            <w:tcW w:w="1163" w:type="dxa"/>
            <w:tcBorders>
              <w:top w:val="thinThickSmallGap" w:sz="12" w:space="0" w:color="auto"/>
              <w:left w:val="nil"/>
              <w:bottom w:val="single" w:sz="4" w:space="0" w:color="auto"/>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eastAsia="Times New Roman" w:hAnsi="Calibri" w:cs="Times New Roman"/>
                <w:b/>
                <w:bCs/>
                <w:color w:val="000000"/>
                <w:sz w:val="20"/>
                <w:szCs w:val="20"/>
                <w:lang w:eastAsia="en-GB"/>
              </w:rPr>
            </w:pPr>
            <w:r w:rsidRPr="00C86B25">
              <w:rPr>
                <w:rFonts w:ascii="Calibri" w:eastAsia="Times New Roman" w:hAnsi="Calibri" w:cs="Times New Roman"/>
                <w:b/>
                <w:bCs/>
                <w:color w:val="000000"/>
                <w:sz w:val="20"/>
                <w:szCs w:val="20"/>
                <w:lang w:eastAsia="en-GB"/>
              </w:rPr>
              <w:t>Money Out</w:t>
            </w:r>
          </w:p>
        </w:tc>
      </w:tr>
      <w:tr w:rsidR="00E60F9C" w:rsidRPr="00C86B25" w:rsidTr="006D29A3">
        <w:trPr>
          <w:trHeight w:val="454"/>
        </w:trPr>
        <w:tc>
          <w:tcPr>
            <w:tcW w:w="1308" w:type="dxa"/>
            <w:tcBorders>
              <w:top w:val="single" w:sz="4" w:space="0" w:color="auto"/>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12.02.2019</w:t>
            </w:r>
          </w:p>
        </w:tc>
        <w:tc>
          <w:tcPr>
            <w:tcW w:w="1690" w:type="dxa"/>
            <w:tcBorders>
              <w:top w:val="single" w:sz="4" w:space="0" w:color="auto"/>
              <w:left w:val="nil"/>
              <w:bottom w:val="nil"/>
              <w:right w:val="nil"/>
            </w:tcBorders>
            <w:vAlign w:val="center"/>
          </w:tcPr>
          <w:p w:rsidR="00E60F9C" w:rsidRPr="00C86B25" w:rsidRDefault="00E60F9C" w:rsidP="00BC33F8">
            <w:pPr>
              <w:spacing w:before="60" w:after="60" w:line="240" w:lineRule="auto"/>
              <w:jc w:val="center"/>
              <w:rPr>
                <w:rFonts w:ascii="Calibri" w:hAnsi="Calibri"/>
                <w:color w:val="000000"/>
                <w:sz w:val="20"/>
                <w:szCs w:val="20"/>
              </w:rPr>
            </w:pPr>
            <w:r w:rsidRPr="00C86B25">
              <w:rPr>
                <w:rFonts w:ascii="Calibri" w:hAnsi="Calibri"/>
                <w:color w:val="000000"/>
                <w:sz w:val="20"/>
                <w:szCs w:val="20"/>
              </w:rPr>
              <w:t>Materials</w:t>
            </w:r>
          </w:p>
        </w:tc>
        <w:tc>
          <w:tcPr>
            <w:tcW w:w="5019" w:type="dxa"/>
            <w:tcBorders>
              <w:top w:val="single" w:sz="4" w:space="0" w:color="auto"/>
              <w:left w:val="nil"/>
              <w:bottom w:val="nil"/>
              <w:right w:val="nil"/>
            </w:tcBorders>
            <w:shd w:val="clear" w:color="auto" w:fill="auto"/>
            <w:noWrap/>
            <w:tcMar>
              <w:left w:w="0" w:type="dxa"/>
              <w:right w:w="0" w:type="dxa"/>
            </w:tcMar>
            <w:vAlign w:val="center"/>
            <w:hideMark/>
          </w:tcPr>
          <w:p w:rsidR="00E60F9C" w:rsidRPr="00C86B25" w:rsidRDefault="00673630" w:rsidP="00673630">
            <w:pPr>
              <w:spacing w:before="60" w:after="60" w:line="240" w:lineRule="auto"/>
              <w:jc w:val="center"/>
              <w:rPr>
                <w:rFonts w:ascii="Calibri" w:hAnsi="Calibri"/>
                <w:color w:val="000000"/>
                <w:sz w:val="20"/>
                <w:szCs w:val="20"/>
              </w:rPr>
            </w:pPr>
            <w:r w:rsidRPr="00C86B25">
              <w:rPr>
                <w:rFonts w:ascii="Calibri" w:hAnsi="Calibri"/>
                <w:color w:val="000000"/>
                <w:sz w:val="20"/>
                <w:szCs w:val="20"/>
              </w:rPr>
              <w:t xml:space="preserve">Centro de Calculo - </w:t>
            </w:r>
            <w:r w:rsidR="00E60F9C" w:rsidRPr="00C86B25">
              <w:rPr>
                <w:rFonts w:ascii="Calibri" w:hAnsi="Calibri"/>
                <w:color w:val="000000"/>
                <w:sz w:val="20"/>
                <w:szCs w:val="20"/>
              </w:rPr>
              <w:t>Spinterference</w:t>
            </w:r>
          </w:p>
        </w:tc>
        <w:tc>
          <w:tcPr>
            <w:tcW w:w="1163" w:type="dxa"/>
            <w:tcBorders>
              <w:top w:val="single" w:sz="4" w:space="0" w:color="auto"/>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£1,253.26</w:t>
            </w:r>
          </w:p>
        </w:tc>
      </w:tr>
      <w:tr w:rsidR="00E60F9C" w:rsidRPr="00C86B25" w:rsidTr="006D29A3">
        <w:trPr>
          <w:trHeight w:val="454"/>
        </w:trPr>
        <w:tc>
          <w:tcPr>
            <w:tcW w:w="1308" w:type="dxa"/>
            <w:tcBorders>
              <w:top w:val="nil"/>
              <w:left w:val="nil"/>
              <w:bottom w:val="nil"/>
              <w:right w:val="nil"/>
            </w:tcBorders>
            <w:shd w:val="clear" w:color="auto" w:fill="auto"/>
            <w:noWrap/>
            <w:tcMar>
              <w:left w:w="0" w:type="dxa"/>
              <w:right w:w="0" w:type="dxa"/>
            </w:tcMar>
            <w:vAlign w:val="center"/>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14.02.2019</w:t>
            </w:r>
          </w:p>
        </w:tc>
        <w:tc>
          <w:tcPr>
            <w:tcW w:w="1690" w:type="dxa"/>
            <w:tcBorders>
              <w:top w:val="nil"/>
              <w:left w:val="nil"/>
              <w:bottom w:val="nil"/>
              <w:right w:val="nil"/>
            </w:tcBorders>
            <w:vAlign w:val="center"/>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Travel</w:t>
            </w:r>
          </w:p>
        </w:tc>
        <w:tc>
          <w:tcPr>
            <w:tcW w:w="5019" w:type="dxa"/>
            <w:tcBorders>
              <w:top w:val="nil"/>
              <w:left w:val="nil"/>
              <w:bottom w:val="nil"/>
              <w:right w:val="nil"/>
            </w:tcBorders>
            <w:shd w:val="clear" w:color="auto" w:fill="auto"/>
            <w:noWrap/>
            <w:tcMar>
              <w:left w:w="0" w:type="dxa"/>
              <w:right w:w="0" w:type="dxa"/>
            </w:tcMar>
            <w:vAlign w:val="center"/>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Eurowings - Prague to Manchester</w:t>
            </w:r>
          </w:p>
        </w:tc>
        <w:tc>
          <w:tcPr>
            <w:tcW w:w="1163" w:type="dxa"/>
            <w:tcBorders>
              <w:top w:val="nil"/>
              <w:left w:val="nil"/>
              <w:bottom w:val="nil"/>
              <w:right w:val="nil"/>
            </w:tcBorders>
            <w:shd w:val="clear" w:color="auto" w:fill="auto"/>
            <w:noWrap/>
            <w:tcMar>
              <w:left w:w="0" w:type="dxa"/>
              <w:right w:w="0" w:type="dxa"/>
            </w:tcMar>
            <w:vAlign w:val="center"/>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£163.41</w:t>
            </w:r>
          </w:p>
        </w:tc>
      </w:tr>
      <w:tr w:rsidR="00E60F9C" w:rsidRPr="00C86B25" w:rsidTr="006D29A3">
        <w:trPr>
          <w:trHeight w:val="454"/>
        </w:trPr>
        <w:tc>
          <w:tcPr>
            <w:tcW w:w="1308"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14.02.2019</w:t>
            </w:r>
          </w:p>
        </w:tc>
        <w:tc>
          <w:tcPr>
            <w:tcW w:w="1690" w:type="dxa"/>
            <w:tcBorders>
              <w:top w:val="nil"/>
              <w:left w:val="nil"/>
              <w:bottom w:val="nil"/>
              <w:right w:val="nil"/>
            </w:tcBorders>
            <w:vAlign w:val="center"/>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Travel</w:t>
            </w:r>
          </w:p>
        </w:tc>
        <w:tc>
          <w:tcPr>
            <w:tcW w:w="5019"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673630">
            <w:pPr>
              <w:spacing w:before="60" w:after="60" w:line="240" w:lineRule="auto"/>
              <w:jc w:val="center"/>
              <w:rPr>
                <w:rFonts w:ascii="Calibri" w:hAnsi="Calibri"/>
                <w:color w:val="000000"/>
                <w:sz w:val="20"/>
                <w:szCs w:val="20"/>
              </w:rPr>
            </w:pPr>
            <w:r w:rsidRPr="00C86B25">
              <w:rPr>
                <w:rFonts w:ascii="Calibri" w:hAnsi="Calibri"/>
                <w:color w:val="000000"/>
                <w:sz w:val="20"/>
                <w:szCs w:val="20"/>
              </w:rPr>
              <w:t>Eurowings - NSTF</w:t>
            </w:r>
          </w:p>
        </w:tc>
        <w:tc>
          <w:tcPr>
            <w:tcW w:w="1163"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£4.49</w:t>
            </w:r>
          </w:p>
        </w:tc>
      </w:tr>
      <w:tr w:rsidR="00E60F9C" w:rsidRPr="00C86B25" w:rsidTr="006D29A3">
        <w:trPr>
          <w:trHeight w:val="454"/>
        </w:trPr>
        <w:tc>
          <w:tcPr>
            <w:tcW w:w="1308"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14.02.2019</w:t>
            </w:r>
          </w:p>
        </w:tc>
        <w:tc>
          <w:tcPr>
            <w:tcW w:w="1690" w:type="dxa"/>
            <w:tcBorders>
              <w:top w:val="nil"/>
              <w:left w:val="nil"/>
              <w:bottom w:val="nil"/>
              <w:right w:val="nil"/>
            </w:tcBorders>
            <w:vAlign w:val="center"/>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Travel</w:t>
            </w:r>
          </w:p>
        </w:tc>
        <w:tc>
          <w:tcPr>
            <w:tcW w:w="5019"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Austrian Airlines - Vienna to Manchester</w:t>
            </w:r>
          </w:p>
        </w:tc>
        <w:tc>
          <w:tcPr>
            <w:tcW w:w="1163"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£157.21</w:t>
            </w:r>
          </w:p>
        </w:tc>
      </w:tr>
      <w:tr w:rsidR="00E60F9C" w:rsidRPr="00C86B25" w:rsidTr="006D29A3">
        <w:trPr>
          <w:trHeight w:val="454"/>
        </w:trPr>
        <w:tc>
          <w:tcPr>
            <w:tcW w:w="1308"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14.02.2019</w:t>
            </w:r>
          </w:p>
        </w:tc>
        <w:tc>
          <w:tcPr>
            <w:tcW w:w="1690" w:type="dxa"/>
            <w:tcBorders>
              <w:top w:val="nil"/>
              <w:left w:val="nil"/>
              <w:bottom w:val="nil"/>
              <w:right w:val="nil"/>
            </w:tcBorders>
            <w:vAlign w:val="center"/>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Travel</w:t>
            </w:r>
          </w:p>
        </w:tc>
        <w:tc>
          <w:tcPr>
            <w:tcW w:w="5019" w:type="dxa"/>
            <w:tcBorders>
              <w:top w:val="nil"/>
              <w:left w:val="nil"/>
              <w:bottom w:val="nil"/>
              <w:right w:val="nil"/>
            </w:tcBorders>
            <w:shd w:val="clear" w:color="auto" w:fill="auto"/>
            <w:noWrap/>
            <w:tcMar>
              <w:left w:w="0" w:type="dxa"/>
              <w:right w:w="0" w:type="dxa"/>
            </w:tcMar>
            <w:vAlign w:val="center"/>
            <w:hideMark/>
          </w:tcPr>
          <w:p w:rsidR="00E60F9C" w:rsidRPr="00C86B25" w:rsidRDefault="00673630"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 xml:space="preserve">Green Motion - </w:t>
            </w:r>
            <w:r w:rsidR="00E60F9C" w:rsidRPr="00C86B25">
              <w:rPr>
                <w:rFonts w:ascii="Calibri" w:hAnsi="Calibri"/>
                <w:color w:val="000000"/>
                <w:sz w:val="20"/>
                <w:szCs w:val="20"/>
              </w:rPr>
              <w:t>Car rental</w:t>
            </w:r>
          </w:p>
        </w:tc>
        <w:tc>
          <w:tcPr>
            <w:tcW w:w="1163"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£40.46</w:t>
            </w:r>
          </w:p>
        </w:tc>
      </w:tr>
      <w:tr w:rsidR="00E60F9C" w:rsidRPr="00C86B25" w:rsidTr="006D29A3">
        <w:trPr>
          <w:trHeight w:val="454"/>
        </w:trPr>
        <w:tc>
          <w:tcPr>
            <w:tcW w:w="1308"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15.02.2019</w:t>
            </w:r>
          </w:p>
        </w:tc>
        <w:tc>
          <w:tcPr>
            <w:tcW w:w="1690" w:type="dxa"/>
            <w:tcBorders>
              <w:top w:val="nil"/>
              <w:left w:val="nil"/>
              <w:bottom w:val="nil"/>
              <w:right w:val="nil"/>
            </w:tcBorders>
            <w:vAlign w:val="center"/>
          </w:tcPr>
          <w:p w:rsidR="00E60F9C" w:rsidRPr="00C86B25" w:rsidRDefault="00E60F9C" w:rsidP="00BC33F8">
            <w:pPr>
              <w:spacing w:before="60" w:after="60" w:line="240" w:lineRule="auto"/>
              <w:jc w:val="center"/>
              <w:rPr>
                <w:rFonts w:ascii="Calibri" w:hAnsi="Calibri"/>
                <w:color w:val="000000"/>
                <w:sz w:val="20"/>
                <w:szCs w:val="20"/>
              </w:rPr>
            </w:pPr>
            <w:r w:rsidRPr="00C86B25">
              <w:rPr>
                <w:rFonts w:ascii="Calibri" w:hAnsi="Calibri"/>
                <w:color w:val="000000"/>
                <w:sz w:val="20"/>
                <w:szCs w:val="20"/>
              </w:rPr>
              <w:t>Materials</w:t>
            </w:r>
          </w:p>
        </w:tc>
        <w:tc>
          <w:tcPr>
            <w:tcW w:w="5019" w:type="dxa"/>
            <w:tcBorders>
              <w:top w:val="nil"/>
              <w:left w:val="nil"/>
              <w:bottom w:val="nil"/>
              <w:right w:val="nil"/>
            </w:tcBorders>
            <w:shd w:val="clear" w:color="auto" w:fill="auto"/>
            <w:noWrap/>
            <w:tcMar>
              <w:left w:w="0" w:type="dxa"/>
              <w:right w:w="0" w:type="dxa"/>
            </w:tcMar>
            <w:vAlign w:val="center"/>
            <w:hideMark/>
          </w:tcPr>
          <w:p w:rsidR="00E60F9C" w:rsidRPr="00C86B25" w:rsidRDefault="00673630" w:rsidP="00673630">
            <w:pPr>
              <w:spacing w:before="60" w:after="60" w:line="240" w:lineRule="auto"/>
              <w:jc w:val="center"/>
              <w:rPr>
                <w:rFonts w:ascii="Calibri" w:hAnsi="Calibri"/>
                <w:color w:val="000000"/>
                <w:sz w:val="20"/>
                <w:szCs w:val="20"/>
              </w:rPr>
            </w:pPr>
            <w:r w:rsidRPr="00C86B25">
              <w:rPr>
                <w:rFonts w:ascii="Calibri" w:hAnsi="Calibri"/>
                <w:color w:val="000000"/>
                <w:sz w:val="20"/>
                <w:szCs w:val="20"/>
              </w:rPr>
              <w:t>Yoctopuce - v</w:t>
            </w:r>
            <w:r w:rsidR="00E60F9C" w:rsidRPr="00C86B25">
              <w:rPr>
                <w:rFonts w:ascii="Calibri" w:hAnsi="Calibri"/>
                <w:color w:val="000000"/>
                <w:sz w:val="20"/>
                <w:szCs w:val="20"/>
              </w:rPr>
              <w:t>oltmeter</w:t>
            </w:r>
          </w:p>
        </w:tc>
        <w:tc>
          <w:tcPr>
            <w:tcW w:w="1163"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£100.28</w:t>
            </w:r>
          </w:p>
        </w:tc>
      </w:tr>
      <w:tr w:rsidR="00E60F9C" w:rsidRPr="00C86B25" w:rsidTr="006D29A3">
        <w:trPr>
          <w:trHeight w:val="454"/>
        </w:trPr>
        <w:tc>
          <w:tcPr>
            <w:tcW w:w="1308"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15.02.2019</w:t>
            </w:r>
          </w:p>
        </w:tc>
        <w:tc>
          <w:tcPr>
            <w:tcW w:w="1690" w:type="dxa"/>
            <w:tcBorders>
              <w:top w:val="nil"/>
              <w:left w:val="nil"/>
              <w:bottom w:val="nil"/>
              <w:right w:val="nil"/>
            </w:tcBorders>
            <w:vAlign w:val="center"/>
          </w:tcPr>
          <w:p w:rsidR="00E60F9C" w:rsidRPr="00C86B25" w:rsidRDefault="00E60F9C" w:rsidP="00BC33F8">
            <w:pPr>
              <w:spacing w:before="60" w:after="60" w:line="240" w:lineRule="auto"/>
              <w:jc w:val="center"/>
              <w:rPr>
                <w:rFonts w:ascii="Calibri" w:hAnsi="Calibri"/>
                <w:color w:val="000000"/>
                <w:sz w:val="20"/>
                <w:szCs w:val="20"/>
              </w:rPr>
            </w:pPr>
            <w:r w:rsidRPr="00C86B25">
              <w:rPr>
                <w:rFonts w:ascii="Calibri" w:hAnsi="Calibri"/>
                <w:color w:val="000000"/>
                <w:sz w:val="20"/>
                <w:szCs w:val="20"/>
              </w:rPr>
              <w:t>Materials</w:t>
            </w:r>
          </w:p>
        </w:tc>
        <w:tc>
          <w:tcPr>
            <w:tcW w:w="5019" w:type="dxa"/>
            <w:tcBorders>
              <w:top w:val="nil"/>
              <w:left w:val="nil"/>
              <w:bottom w:val="nil"/>
              <w:right w:val="nil"/>
            </w:tcBorders>
            <w:shd w:val="clear" w:color="auto" w:fill="auto"/>
            <w:noWrap/>
            <w:tcMar>
              <w:left w:w="0" w:type="dxa"/>
              <w:right w:w="0" w:type="dxa"/>
            </w:tcMar>
            <w:vAlign w:val="center"/>
            <w:hideMark/>
          </w:tcPr>
          <w:p w:rsidR="00E60F9C" w:rsidRPr="00C86B25" w:rsidRDefault="00673630" w:rsidP="00673630">
            <w:pPr>
              <w:spacing w:before="60" w:after="60" w:line="240" w:lineRule="auto"/>
              <w:jc w:val="center"/>
              <w:rPr>
                <w:rFonts w:ascii="Calibri" w:hAnsi="Calibri"/>
                <w:color w:val="000000"/>
                <w:sz w:val="20"/>
                <w:szCs w:val="20"/>
              </w:rPr>
            </w:pPr>
            <w:r w:rsidRPr="00C86B25">
              <w:rPr>
                <w:rFonts w:ascii="Calibri" w:hAnsi="Calibri"/>
                <w:color w:val="000000"/>
                <w:sz w:val="20"/>
                <w:szCs w:val="20"/>
              </w:rPr>
              <w:t xml:space="preserve">Yoctopuce </w:t>
            </w:r>
            <w:r w:rsidR="00E60F9C" w:rsidRPr="00C86B25">
              <w:rPr>
                <w:rFonts w:ascii="Calibri" w:hAnsi="Calibri"/>
                <w:color w:val="000000"/>
                <w:sz w:val="20"/>
                <w:szCs w:val="20"/>
              </w:rPr>
              <w:t xml:space="preserve">- </w:t>
            </w:r>
            <w:r w:rsidRPr="00C86B25">
              <w:rPr>
                <w:rFonts w:ascii="Calibri" w:hAnsi="Calibri"/>
                <w:color w:val="000000"/>
                <w:sz w:val="20"/>
                <w:szCs w:val="20"/>
              </w:rPr>
              <w:t>NSTF</w:t>
            </w:r>
          </w:p>
        </w:tc>
        <w:tc>
          <w:tcPr>
            <w:tcW w:w="1163"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£2.75</w:t>
            </w:r>
          </w:p>
        </w:tc>
      </w:tr>
      <w:tr w:rsidR="00E60F9C" w:rsidRPr="00C86B25" w:rsidTr="006D29A3">
        <w:trPr>
          <w:trHeight w:val="454"/>
        </w:trPr>
        <w:tc>
          <w:tcPr>
            <w:tcW w:w="1308"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04.03.2019</w:t>
            </w:r>
          </w:p>
        </w:tc>
        <w:tc>
          <w:tcPr>
            <w:tcW w:w="1690" w:type="dxa"/>
            <w:tcBorders>
              <w:top w:val="nil"/>
              <w:left w:val="nil"/>
              <w:bottom w:val="nil"/>
              <w:right w:val="nil"/>
            </w:tcBorders>
            <w:vAlign w:val="center"/>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Subsidence</w:t>
            </w:r>
          </w:p>
        </w:tc>
        <w:tc>
          <w:tcPr>
            <w:tcW w:w="5019" w:type="dxa"/>
            <w:tcBorders>
              <w:top w:val="nil"/>
              <w:left w:val="nil"/>
              <w:bottom w:val="nil"/>
              <w:right w:val="nil"/>
            </w:tcBorders>
            <w:shd w:val="clear" w:color="auto" w:fill="auto"/>
            <w:noWrap/>
            <w:tcMar>
              <w:left w:w="0" w:type="dxa"/>
              <w:right w:w="0" w:type="dxa"/>
            </w:tcMar>
            <w:vAlign w:val="center"/>
            <w:hideMark/>
          </w:tcPr>
          <w:p w:rsidR="00E60F9C" w:rsidRPr="00C86B25" w:rsidRDefault="00673630" w:rsidP="00673630">
            <w:pPr>
              <w:spacing w:before="60" w:after="60" w:line="240" w:lineRule="auto"/>
              <w:jc w:val="center"/>
              <w:rPr>
                <w:rFonts w:ascii="Calibri" w:hAnsi="Calibri"/>
                <w:color w:val="000000"/>
                <w:sz w:val="20"/>
                <w:szCs w:val="20"/>
              </w:rPr>
            </w:pPr>
            <w:r w:rsidRPr="00C86B25">
              <w:rPr>
                <w:rFonts w:ascii="Calibri" w:hAnsi="Calibri"/>
                <w:color w:val="000000"/>
                <w:sz w:val="20"/>
                <w:szCs w:val="20"/>
              </w:rPr>
              <w:t>ATM c</w:t>
            </w:r>
            <w:r w:rsidR="00E60F9C" w:rsidRPr="00C86B25">
              <w:rPr>
                <w:rFonts w:ascii="Calibri" w:hAnsi="Calibri"/>
                <w:color w:val="000000"/>
                <w:sz w:val="20"/>
                <w:szCs w:val="20"/>
              </w:rPr>
              <w:t xml:space="preserve">ash </w:t>
            </w:r>
            <w:r w:rsidRPr="00C86B25">
              <w:rPr>
                <w:rFonts w:ascii="Calibri" w:hAnsi="Calibri"/>
                <w:color w:val="000000"/>
                <w:sz w:val="20"/>
                <w:szCs w:val="20"/>
              </w:rPr>
              <w:t>w</w:t>
            </w:r>
            <w:r w:rsidR="00E60F9C" w:rsidRPr="00C86B25">
              <w:rPr>
                <w:rFonts w:ascii="Calibri" w:hAnsi="Calibri"/>
                <w:color w:val="000000"/>
                <w:sz w:val="20"/>
                <w:szCs w:val="20"/>
              </w:rPr>
              <w:t>ithdrawal</w:t>
            </w:r>
          </w:p>
        </w:tc>
        <w:tc>
          <w:tcPr>
            <w:tcW w:w="1163"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£80.00</w:t>
            </w:r>
          </w:p>
        </w:tc>
      </w:tr>
      <w:tr w:rsidR="00E60F9C" w:rsidRPr="00C86B25" w:rsidTr="006D29A3">
        <w:trPr>
          <w:trHeight w:val="454"/>
        </w:trPr>
        <w:tc>
          <w:tcPr>
            <w:tcW w:w="1308"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04.03.2019</w:t>
            </w:r>
          </w:p>
        </w:tc>
        <w:tc>
          <w:tcPr>
            <w:tcW w:w="1690" w:type="dxa"/>
            <w:tcBorders>
              <w:top w:val="nil"/>
              <w:left w:val="nil"/>
              <w:bottom w:val="nil"/>
              <w:right w:val="nil"/>
            </w:tcBorders>
            <w:vAlign w:val="center"/>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Travel</w:t>
            </w:r>
          </w:p>
        </w:tc>
        <w:tc>
          <w:tcPr>
            <w:tcW w:w="5019" w:type="dxa"/>
            <w:tcBorders>
              <w:top w:val="nil"/>
              <w:left w:val="nil"/>
              <w:bottom w:val="nil"/>
              <w:right w:val="nil"/>
            </w:tcBorders>
            <w:shd w:val="clear" w:color="auto" w:fill="auto"/>
            <w:noWrap/>
            <w:tcMar>
              <w:left w:w="0" w:type="dxa"/>
              <w:right w:w="0" w:type="dxa"/>
            </w:tcMar>
            <w:vAlign w:val="center"/>
            <w:hideMark/>
          </w:tcPr>
          <w:p w:rsidR="00E60F9C" w:rsidRPr="00C86B25" w:rsidRDefault="00673630"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 xml:space="preserve">Green Motion - </w:t>
            </w:r>
            <w:r w:rsidR="00E60F9C" w:rsidRPr="00C86B25">
              <w:rPr>
                <w:rFonts w:ascii="Calibri" w:hAnsi="Calibri"/>
                <w:color w:val="000000"/>
                <w:sz w:val="20"/>
                <w:szCs w:val="20"/>
              </w:rPr>
              <w:t>Car insurance</w:t>
            </w:r>
          </w:p>
        </w:tc>
        <w:tc>
          <w:tcPr>
            <w:tcW w:w="1163"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£128.00</w:t>
            </w:r>
          </w:p>
        </w:tc>
      </w:tr>
      <w:tr w:rsidR="00E60F9C" w:rsidRPr="00C86B25" w:rsidTr="006D29A3">
        <w:trPr>
          <w:trHeight w:val="454"/>
        </w:trPr>
        <w:tc>
          <w:tcPr>
            <w:tcW w:w="1308"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04.03.2019</w:t>
            </w:r>
          </w:p>
        </w:tc>
        <w:tc>
          <w:tcPr>
            <w:tcW w:w="1690" w:type="dxa"/>
            <w:tcBorders>
              <w:top w:val="nil"/>
              <w:left w:val="nil"/>
              <w:bottom w:val="nil"/>
              <w:right w:val="nil"/>
            </w:tcBorders>
            <w:vAlign w:val="center"/>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Travel</w:t>
            </w:r>
          </w:p>
        </w:tc>
        <w:tc>
          <w:tcPr>
            <w:tcW w:w="5019" w:type="dxa"/>
            <w:tcBorders>
              <w:top w:val="nil"/>
              <w:left w:val="nil"/>
              <w:bottom w:val="nil"/>
              <w:right w:val="nil"/>
            </w:tcBorders>
            <w:shd w:val="clear" w:color="auto" w:fill="auto"/>
            <w:noWrap/>
            <w:tcMar>
              <w:left w:w="0" w:type="dxa"/>
              <w:right w:w="0" w:type="dxa"/>
            </w:tcMar>
            <w:vAlign w:val="center"/>
            <w:hideMark/>
          </w:tcPr>
          <w:p w:rsidR="00E60F9C" w:rsidRPr="00C86B25" w:rsidRDefault="00673630"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 xml:space="preserve">Green Motion - </w:t>
            </w:r>
            <w:r w:rsidR="00E60F9C" w:rsidRPr="00C86B25">
              <w:rPr>
                <w:rFonts w:ascii="Calibri" w:hAnsi="Calibri"/>
                <w:color w:val="000000"/>
                <w:sz w:val="20"/>
                <w:szCs w:val="20"/>
              </w:rPr>
              <w:t>Fuel</w:t>
            </w:r>
          </w:p>
        </w:tc>
        <w:tc>
          <w:tcPr>
            <w:tcW w:w="1163"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£20.00</w:t>
            </w:r>
          </w:p>
        </w:tc>
      </w:tr>
      <w:tr w:rsidR="00E60F9C" w:rsidRPr="00C86B25" w:rsidTr="006D29A3">
        <w:trPr>
          <w:trHeight w:val="454"/>
        </w:trPr>
        <w:tc>
          <w:tcPr>
            <w:tcW w:w="1308"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06.03.2019</w:t>
            </w:r>
          </w:p>
        </w:tc>
        <w:tc>
          <w:tcPr>
            <w:tcW w:w="1690" w:type="dxa"/>
            <w:tcBorders>
              <w:top w:val="nil"/>
              <w:left w:val="nil"/>
              <w:bottom w:val="nil"/>
              <w:right w:val="nil"/>
            </w:tcBorders>
            <w:vAlign w:val="center"/>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Subsidence</w:t>
            </w:r>
          </w:p>
        </w:tc>
        <w:tc>
          <w:tcPr>
            <w:tcW w:w="5019" w:type="dxa"/>
            <w:tcBorders>
              <w:top w:val="nil"/>
              <w:left w:val="nil"/>
              <w:bottom w:val="nil"/>
              <w:right w:val="nil"/>
            </w:tcBorders>
            <w:shd w:val="clear" w:color="auto" w:fill="auto"/>
            <w:noWrap/>
            <w:tcMar>
              <w:left w:w="0" w:type="dxa"/>
              <w:right w:w="0" w:type="dxa"/>
            </w:tcMar>
            <w:vAlign w:val="center"/>
            <w:hideMark/>
          </w:tcPr>
          <w:p w:rsidR="00E60F9C" w:rsidRPr="00C86B25" w:rsidRDefault="00673630" w:rsidP="00673630">
            <w:pPr>
              <w:spacing w:before="60" w:after="60" w:line="240" w:lineRule="auto"/>
              <w:jc w:val="center"/>
              <w:rPr>
                <w:rFonts w:ascii="Calibri" w:hAnsi="Calibri"/>
                <w:color w:val="000000"/>
                <w:sz w:val="20"/>
                <w:szCs w:val="20"/>
              </w:rPr>
            </w:pPr>
            <w:r w:rsidRPr="00C86B25">
              <w:rPr>
                <w:rFonts w:ascii="Calibri" w:hAnsi="Calibri"/>
                <w:color w:val="000000"/>
                <w:sz w:val="20"/>
                <w:szCs w:val="20"/>
              </w:rPr>
              <w:t>ATM c</w:t>
            </w:r>
            <w:r w:rsidR="00E60F9C" w:rsidRPr="00C86B25">
              <w:rPr>
                <w:rFonts w:ascii="Calibri" w:hAnsi="Calibri"/>
                <w:color w:val="000000"/>
                <w:sz w:val="20"/>
                <w:szCs w:val="20"/>
              </w:rPr>
              <w:t xml:space="preserve">ash </w:t>
            </w:r>
            <w:r w:rsidRPr="00C86B25">
              <w:rPr>
                <w:rFonts w:ascii="Calibri" w:hAnsi="Calibri"/>
                <w:color w:val="000000"/>
                <w:sz w:val="20"/>
                <w:szCs w:val="20"/>
              </w:rPr>
              <w:t>w</w:t>
            </w:r>
            <w:r w:rsidR="00E60F9C" w:rsidRPr="00C86B25">
              <w:rPr>
                <w:rFonts w:ascii="Calibri" w:hAnsi="Calibri"/>
                <w:color w:val="000000"/>
                <w:sz w:val="20"/>
                <w:szCs w:val="20"/>
              </w:rPr>
              <w:t>ithdrawal</w:t>
            </w:r>
          </w:p>
        </w:tc>
        <w:tc>
          <w:tcPr>
            <w:tcW w:w="1163"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£40.00</w:t>
            </w:r>
          </w:p>
        </w:tc>
      </w:tr>
      <w:tr w:rsidR="00E60F9C" w:rsidRPr="00C86B25" w:rsidTr="006D29A3">
        <w:trPr>
          <w:trHeight w:val="454"/>
        </w:trPr>
        <w:tc>
          <w:tcPr>
            <w:tcW w:w="1308"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08.03.2019</w:t>
            </w:r>
          </w:p>
        </w:tc>
        <w:tc>
          <w:tcPr>
            <w:tcW w:w="1690" w:type="dxa"/>
            <w:tcBorders>
              <w:top w:val="nil"/>
              <w:left w:val="nil"/>
              <w:bottom w:val="nil"/>
              <w:right w:val="nil"/>
            </w:tcBorders>
            <w:vAlign w:val="center"/>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Accommodation</w:t>
            </w:r>
          </w:p>
        </w:tc>
        <w:tc>
          <w:tcPr>
            <w:tcW w:w="5019"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TSG Castleton - two people x four nights</w:t>
            </w:r>
          </w:p>
        </w:tc>
        <w:tc>
          <w:tcPr>
            <w:tcW w:w="1163"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£48.00</w:t>
            </w:r>
          </w:p>
        </w:tc>
      </w:tr>
      <w:tr w:rsidR="00E60F9C" w:rsidRPr="00C86B25" w:rsidTr="006D29A3">
        <w:trPr>
          <w:trHeight w:val="454"/>
        </w:trPr>
        <w:tc>
          <w:tcPr>
            <w:tcW w:w="1308"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25.04.2019</w:t>
            </w:r>
          </w:p>
        </w:tc>
        <w:tc>
          <w:tcPr>
            <w:tcW w:w="1690" w:type="dxa"/>
            <w:tcBorders>
              <w:top w:val="nil"/>
              <w:left w:val="nil"/>
              <w:bottom w:val="nil"/>
              <w:right w:val="nil"/>
            </w:tcBorders>
            <w:vAlign w:val="center"/>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Travel</w:t>
            </w:r>
          </w:p>
        </w:tc>
        <w:tc>
          <w:tcPr>
            <w:tcW w:w="5019"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KLM - Prague to Manchester</w:t>
            </w:r>
          </w:p>
        </w:tc>
        <w:tc>
          <w:tcPr>
            <w:tcW w:w="1163"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£216.25</w:t>
            </w:r>
          </w:p>
        </w:tc>
      </w:tr>
      <w:tr w:rsidR="00E60F9C" w:rsidRPr="00C86B25" w:rsidTr="006D29A3">
        <w:trPr>
          <w:trHeight w:val="454"/>
        </w:trPr>
        <w:tc>
          <w:tcPr>
            <w:tcW w:w="1308"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14.05.2019</w:t>
            </w:r>
          </w:p>
        </w:tc>
        <w:tc>
          <w:tcPr>
            <w:tcW w:w="1690" w:type="dxa"/>
            <w:tcBorders>
              <w:top w:val="nil"/>
              <w:left w:val="nil"/>
              <w:bottom w:val="nil"/>
              <w:right w:val="nil"/>
            </w:tcBorders>
            <w:vAlign w:val="center"/>
          </w:tcPr>
          <w:p w:rsidR="00E60F9C" w:rsidRPr="00C86B25" w:rsidRDefault="00E60F9C" w:rsidP="00BC33F8">
            <w:pPr>
              <w:spacing w:before="60" w:after="60" w:line="240" w:lineRule="auto"/>
              <w:jc w:val="center"/>
              <w:rPr>
                <w:rFonts w:ascii="Calibri" w:hAnsi="Calibri"/>
                <w:color w:val="000000"/>
                <w:sz w:val="20"/>
                <w:szCs w:val="20"/>
              </w:rPr>
            </w:pPr>
            <w:r w:rsidRPr="00C86B25">
              <w:rPr>
                <w:rFonts w:ascii="Calibri" w:hAnsi="Calibri"/>
                <w:color w:val="000000"/>
                <w:sz w:val="20"/>
                <w:szCs w:val="20"/>
              </w:rPr>
              <w:t>Materials</w:t>
            </w:r>
          </w:p>
        </w:tc>
        <w:tc>
          <w:tcPr>
            <w:tcW w:w="5019" w:type="dxa"/>
            <w:tcBorders>
              <w:top w:val="nil"/>
              <w:left w:val="nil"/>
              <w:bottom w:val="nil"/>
              <w:right w:val="nil"/>
            </w:tcBorders>
            <w:shd w:val="clear" w:color="auto" w:fill="auto"/>
            <w:noWrap/>
            <w:tcMar>
              <w:left w:w="0" w:type="dxa"/>
              <w:right w:w="0" w:type="dxa"/>
            </w:tcMar>
            <w:vAlign w:val="center"/>
            <w:hideMark/>
          </w:tcPr>
          <w:p w:rsidR="00E60F9C" w:rsidRPr="00C86B25" w:rsidRDefault="00673630" w:rsidP="00673630">
            <w:pPr>
              <w:spacing w:before="60" w:after="60" w:line="240" w:lineRule="auto"/>
              <w:jc w:val="center"/>
              <w:rPr>
                <w:rFonts w:ascii="Calibri" w:hAnsi="Calibri"/>
                <w:color w:val="000000"/>
                <w:sz w:val="20"/>
                <w:szCs w:val="20"/>
              </w:rPr>
            </w:pPr>
            <w:r w:rsidRPr="00C86B25">
              <w:rPr>
                <w:rFonts w:ascii="Calibri" w:hAnsi="Calibri"/>
                <w:color w:val="000000"/>
                <w:sz w:val="20"/>
                <w:szCs w:val="20"/>
              </w:rPr>
              <w:t xml:space="preserve">Conrad Electronic - </w:t>
            </w:r>
            <w:r w:rsidR="00E60F9C" w:rsidRPr="00C86B25">
              <w:rPr>
                <w:rFonts w:ascii="Calibri" w:hAnsi="Calibri"/>
                <w:color w:val="000000"/>
                <w:sz w:val="20"/>
                <w:szCs w:val="20"/>
              </w:rPr>
              <w:t>Enclosure</w:t>
            </w:r>
          </w:p>
        </w:tc>
        <w:tc>
          <w:tcPr>
            <w:tcW w:w="1163"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£80.83</w:t>
            </w:r>
          </w:p>
        </w:tc>
      </w:tr>
      <w:tr w:rsidR="00E60F9C" w:rsidRPr="00C86B25" w:rsidTr="006D29A3">
        <w:trPr>
          <w:trHeight w:val="454"/>
        </w:trPr>
        <w:tc>
          <w:tcPr>
            <w:tcW w:w="1308"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14.05.2019</w:t>
            </w:r>
          </w:p>
        </w:tc>
        <w:tc>
          <w:tcPr>
            <w:tcW w:w="1690" w:type="dxa"/>
            <w:tcBorders>
              <w:top w:val="nil"/>
              <w:left w:val="nil"/>
              <w:bottom w:val="nil"/>
              <w:right w:val="nil"/>
            </w:tcBorders>
            <w:vAlign w:val="center"/>
          </w:tcPr>
          <w:p w:rsidR="00E60F9C" w:rsidRPr="00C86B25" w:rsidRDefault="00E60F9C" w:rsidP="00BC33F8">
            <w:pPr>
              <w:spacing w:before="60" w:after="60" w:line="240" w:lineRule="auto"/>
              <w:jc w:val="center"/>
              <w:rPr>
                <w:rFonts w:ascii="Calibri" w:hAnsi="Calibri"/>
                <w:color w:val="000000"/>
                <w:sz w:val="20"/>
                <w:szCs w:val="20"/>
              </w:rPr>
            </w:pPr>
            <w:r w:rsidRPr="00C86B25">
              <w:rPr>
                <w:rFonts w:ascii="Calibri" w:hAnsi="Calibri"/>
                <w:color w:val="000000"/>
                <w:sz w:val="20"/>
                <w:szCs w:val="20"/>
              </w:rPr>
              <w:t>Materials</w:t>
            </w:r>
          </w:p>
        </w:tc>
        <w:tc>
          <w:tcPr>
            <w:tcW w:w="5019" w:type="dxa"/>
            <w:tcBorders>
              <w:top w:val="nil"/>
              <w:left w:val="nil"/>
              <w:bottom w:val="nil"/>
              <w:right w:val="nil"/>
            </w:tcBorders>
            <w:shd w:val="clear" w:color="auto" w:fill="auto"/>
            <w:noWrap/>
            <w:tcMar>
              <w:left w:w="0" w:type="dxa"/>
              <w:right w:w="0" w:type="dxa"/>
            </w:tcMar>
            <w:vAlign w:val="center"/>
            <w:hideMark/>
          </w:tcPr>
          <w:p w:rsidR="00E60F9C" w:rsidRPr="00C86B25" w:rsidRDefault="00673630" w:rsidP="00673630">
            <w:pPr>
              <w:spacing w:before="60" w:after="60" w:line="240" w:lineRule="auto"/>
              <w:jc w:val="center"/>
              <w:rPr>
                <w:rFonts w:ascii="Calibri" w:hAnsi="Calibri"/>
                <w:color w:val="000000"/>
                <w:sz w:val="20"/>
                <w:szCs w:val="20"/>
              </w:rPr>
            </w:pPr>
            <w:r w:rsidRPr="00C86B25">
              <w:rPr>
                <w:rFonts w:ascii="Calibri" w:hAnsi="Calibri"/>
                <w:color w:val="000000"/>
                <w:sz w:val="20"/>
                <w:szCs w:val="20"/>
              </w:rPr>
              <w:t>Conrad Electronic</w:t>
            </w:r>
            <w:r w:rsidR="00E60F9C" w:rsidRPr="00C86B25">
              <w:rPr>
                <w:rFonts w:ascii="Calibri" w:hAnsi="Calibri"/>
                <w:color w:val="000000"/>
                <w:sz w:val="20"/>
                <w:szCs w:val="20"/>
              </w:rPr>
              <w:t xml:space="preserve"> </w:t>
            </w:r>
            <w:r w:rsidRPr="00C86B25">
              <w:rPr>
                <w:rFonts w:ascii="Calibri" w:hAnsi="Calibri"/>
                <w:color w:val="000000"/>
                <w:sz w:val="20"/>
                <w:szCs w:val="20"/>
              </w:rPr>
              <w:t>-</w:t>
            </w:r>
            <w:r w:rsidR="00E60F9C" w:rsidRPr="00C86B25">
              <w:rPr>
                <w:rFonts w:ascii="Calibri" w:hAnsi="Calibri"/>
                <w:color w:val="000000"/>
                <w:sz w:val="20"/>
                <w:szCs w:val="20"/>
              </w:rPr>
              <w:t xml:space="preserve"> </w:t>
            </w:r>
            <w:r w:rsidRPr="00C86B25">
              <w:rPr>
                <w:rFonts w:ascii="Calibri" w:hAnsi="Calibri"/>
                <w:color w:val="000000"/>
                <w:sz w:val="20"/>
                <w:szCs w:val="20"/>
              </w:rPr>
              <w:t>NSTF</w:t>
            </w:r>
          </w:p>
        </w:tc>
        <w:tc>
          <w:tcPr>
            <w:tcW w:w="1163"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£2.22</w:t>
            </w:r>
          </w:p>
        </w:tc>
      </w:tr>
      <w:tr w:rsidR="00E60F9C" w:rsidRPr="00C86B25" w:rsidTr="006D29A3">
        <w:trPr>
          <w:trHeight w:val="454"/>
        </w:trPr>
        <w:tc>
          <w:tcPr>
            <w:tcW w:w="1308"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07.06.2019</w:t>
            </w:r>
          </w:p>
        </w:tc>
        <w:tc>
          <w:tcPr>
            <w:tcW w:w="1690" w:type="dxa"/>
            <w:tcBorders>
              <w:top w:val="nil"/>
              <w:left w:val="nil"/>
              <w:bottom w:val="nil"/>
              <w:right w:val="nil"/>
            </w:tcBorders>
            <w:vAlign w:val="center"/>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Travel</w:t>
            </w:r>
          </w:p>
        </w:tc>
        <w:tc>
          <w:tcPr>
            <w:tcW w:w="5019" w:type="dxa"/>
            <w:tcBorders>
              <w:top w:val="nil"/>
              <w:left w:val="nil"/>
              <w:bottom w:val="nil"/>
              <w:right w:val="nil"/>
            </w:tcBorders>
            <w:shd w:val="clear" w:color="auto" w:fill="auto"/>
            <w:noWrap/>
            <w:tcMar>
              <w:left w:w="0" w:type="dxa"/>
              <w:right w:w="0" w:type="dxa"/>
            </w:tcMar>
            <w:vAlign w:val="center"/>
            <w:hideMark/>
          </w:tcPr>
          <w:p w:rsidR="00E60F9C" w:rsidRPr="00C86B25" w:rsidRDefault="006669AA" w:rsidP="006669AA">
            <w:pPr>
              <w:spacing w:before="60" w:after="60" w:line="240" w:lineRule="auto"/>
              <w:jc w:val="center"/>
              <w:rPr>
                <w:rFonts w:ascii="Calibri" w:hAnsi="Calibri"/>
                <w:color w:val="000000"/>
                <w:sz w:val="20"/>
                <w:szCs w:val="20"/>
              </w:rPr>
            </w:pPr>
            <w:r w:rsidRPr="00C86B25">
              <w:rPr>
                <w:rFonts w:ascii="Calibri" w:hAnsi="Calibri"/>
                <w:color w:val="000000"/>
                <w:sz w:val="20"/>
                <w:szCs w:val="20"/>
              </w:rPr>
              <w:t>Enterprise - c</w:t>
            </w:r>
            <w:r w:rsidR="00E60F9C" w:rsidRPr="00C86B25">
              <w:rPr>
                <w:rFonts w:ascii="Calibri" w:hAnsi="Calibri"/>
                <w:color w:val="000000"/>
                <w:sz w:val="20"/>
                <w:szCs w:val="20"/>
              </w:rPr>
              <w:t>ar rental and insurance</w:t>
            </w:r>
          </w:p>
        </w:tc>
        <w:tc>
          <w:tcPr>
            <w:tcW w:w="1163"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£115.65</w:t>
            </w:r>
          </w:p>
        </w:tc>
      </w:tr>
      <w:tr w:rsidR="00E60F9C" w:rsidRPr="00C86B25" w:rsidTr="006D29A3">
        <w:trPr>
          <w:trHeight w:val="454"/>
        </w:trPr>
        <w:tc>
          <w:tcPr>
            <w:tcW w:w="1308"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07.06.2019</w:t>
            </w:r>
          </w:p>
        </w:tc>
        <w:tc>
          <w:tcPr>
            <w:tcW w:w="1690" w:type="dxa"/>
            <w:tcBorders>
              <w:top w:val="nil"/>
              <w:left w:val="nil"/>
              <w:bottom w:val="nil"/>
              <w:right w:val="nil"/>
            </w:tcBorders>
            <w:vAlign w:val="center"/>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Travel</w:t>
            </w:r>
          </w:p>
        </w:tc>
        <w:tc>
          <w:tcPr>
            <w:tcW w:w="5019" w:type="dxa"/>
            <w:tcBorders>
              <w:top w:val="nil"/>
              <w:left w:val="nil"/>
              <w:bottom w:val="nil"/>
              <w:right w:val="nil"/>
            </w:tcBorders>
            <w:shd w:val="clear" w:color="auto" w:fill="auto"/>
            <w:noWrap/>
            <w:tcMar>
              <w:left w:w="0" w:type="dxa"/>
              <w:right w:w="0" w:type="dxa"/>
            </w:tcMar>
            <w:vAlign w:val="center"/>
            <w:hideMark/>
          </w:tcPr>
          <w:p w:rsidR="00E60F9C" w:rsidRPr="00C86B25" w:rsidRDefault="006669AA" w:rsidP="006669AA">
            <w:pPr>
              <w:spacing w:before="60" w:after="60" w:line="240" w:lineRule="auto"/>
              <w:jc w:val="center"/>
              <w:rPr>
                <w:rFonts w:ascii="Calibri" w:hAnsi="Calibri"/>
                <w:color w:val="000000"/>
                <w:sz w:val="20"/>
                <w:szCs w:val="20"/>
              </w:rPr>
            </w:pPr>
            <w:r w:rsidRPr="00C86B25">
              <w:rPr>
                <w:rFonts w:ascii="Calibri" w:hAnsi="Calibri"/>
                <w:color w:val="000000"/>
                <w:sz w:val="20"/>
                <w:szCs w:val="20"/>
              </w:rPr>
              <w:t xml:space="preserve">Enterprise </w:t>
            </w:r>
            <w:r w:rsidR="00E60F9C" w:rsidRPr="00C86B25">
              <w:rPr>
                <w:rFonts w:ascii="Calibri" w:hAnsi="Calibri"/>
                <w:color w:val="000000"/>
                <w:sz w:val="20"/>
                <w:szCs w:val="20"/>
              </w:rPr>
              <w:t>- N</w:t>
            </w:r>
            <w:r w:rsidRPr="00C86B25">
              <w:rPr>
                <w:rFonts w:ascii="Calibri" w:hAnsi="Calibri"/>
                <w:color w:val="000000"/>
                <w:sz w:val="20"/>
                <w:szCs w:val="20"/>
              </w:rPr>
              <w:t>S</w:t>
            </w:r>
            <w:r w:rsidR="00E60F9C" w:rsidRPr="00C86B25">
              <w:rPr>
                <w:rFonts w:ascii="Calibri" w:hAnsi="Calibri"/>
                <w:color w:val="000000"/>
                <w:sz w:val="20"/>
                <w:szCs w:val="20"/>
              </w:rPr>
              <w:t>TF</w:t>
            </w:r>
          </w:p>
        </w:tc>
        <w:tc>
          <w:tcPr>
            <w:tcW w:w="1163"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£3.18</w:t>
            </w:r>
          </w:p>
        </w:tc>
      </w:tr>
      <w:tr w:rsidR="00E60F9C" w:rsidRPr="00C86B25" w:rsidTr="006D29A3">
        <w:trPr>
          <w:trHeight w:val="454"/>
        </w:trPr>
        <w:tc>
          <w:tcPr>
            <w:tcW w:w="1308"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17.06.2019</w:t>
            </w:r>
          </w:p>
        </w:tc>
        <w:tc>
          <w:tcPr>
            <w:tcW w:w="1690" w:type="dxa"/>
            <w:tcBorders>
              <w:top w:val="nil"/>
              <w:left w:val="nil"/>
              <w:bottom w:val="nil"/>
              <w:right w:val="nil"/>
            </w:tcBorders>
            <w:vAlign w:val="center"/>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Accommodation</w:t>
            </w:r>
          </w:p>
        </w:tc>
        <w:tc>
          <w:tcPr>
            <w:tcW w:w="5019"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TSG Castleton - two people x four nights</w:t>
            </w:r>
          </w:p>
        </w:tc>
        <w:tc>
          <w:tcPr>
            <w:tcW w:w="1163"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£48.00</w:t>
            </w:r>
          </w:p>
        </w:tc>
      </w:tr>
      <w:tr w:rsidR="00E60F9C" w:rsidRPr="00C86B25" w:rsidTr="006D29A3">
        <w:trPr>
          <w:trHeight w:val="454"/>
        </w:trPr>
        <w:tc>
          <w:tcPr>
            <w:tcW w:w="1308"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19.06.2019</w:t>
            </w:r>
          </w:p>
        </w:tc>
        <w:tc>
          <w:tcPr>
            <w:tcW w:w="1690" w:type="dxa"/>
            <w:tcBorders>
              <w:top w:val="nil"/>
              <w:left w:val="nil"/>
              <w:bottom w:val="nil"/>
              <w:right w:val="nil"/>
            </w:tcBorders>
            <w:vAlign w:val="center"/>
          </w:tcPr>
          <w:p w:rsidR="00E60F9C" w:rsidRPr="00C86B25" w:rsidRDefault="00E60F9C" w:rsidP="00BC33F8">
            <w:pPr>
              <w:spacing w:before="60" w:after="60" w:line="240" w:lineRule="auto"/>
              <w:jc w:val="center"/>
              <w:rPr>
                <w:rFonts w:ascii="Calibri" w:hAnsi="Calibri"/>
                <w:color w:val="000000"/>
                <w:sz w:val="20"/>
                <w:szCs w:val="20"/>
              </w:rPr>
            </w:pPr>
            <w:r w:rsidRPr="00C86B25">
              <w:rPr>
                <w:rFonts w:ascii="Calibri" w:hAnsi="Calibri"/>
                <w:color w:val="000000"/>
                <w:sz w:val="20"/>
                <w:szCs w:val="20"/>
              </w:rPr>
              <w:t>Materials</w:t>
            </w:r>
          </w:p>
        </w:tc>
        <w:tc>
          <w:tcPr>
            <w:tcW w:w="5019"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Amazon Marketplace - Ethernet cable</w:t>
            </w:r>
          </w:p>
        </w:tc>
        <w:tc>
          <w:tcPr>
            <w:tcW w:w="1163"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£119.98</w:t>
            </w:r>
          </w:p>
        </w:tc>
      </w:tr>
      <w:tr w:rsidR="00E60F9C" w:rsidRPr="00C86B25" w:rsidTr="006D29A3">
        <w:trPr>
          <w:trHeight w:val="454"/>
        </w:trPr>
        <w:tc>
          <w:tcPr>
            <w:tcW w:w="1308"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24.06.2019</w:t>
            </w:r>
          </w:p>
        </w:tc>
        <w:tc>
          <w:tcPr>
            <w:tcW w:w="1690" w:type="dxa"/>
            <w:tcBorders>
              <w:top w:val="nil"/>
              <w:left w:val="nil"/>
              <w:bottom w:val="nil"/>
              <w:right w:val="nil"/>
            </w:tcBorders>
            <w:vAlign w:val="center"/>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Subsidence*</w:t>
            </w:r>
          </w:p>
        </w:tc>
        <w:tc>
          <w:tcPr>
            <w:tcW w:w="5019" w:type="dxa"/>
            <w:tcBorders>
              <w:top w:val="nil"/>
              <w:left w:val="nil"/>
              <w:bottom w:val="nil"/>
              <w:right w:val="nil"/>
            </w:tcBorders>
            <w:shd w:val="clear" w:color="auto" w:fill="auto"/>
            <w:noWrap/>
            <w:tcMar>
              <w:left w:w="0" w:type="dxa"/>
              <w:right w:w="0" w:type="dxa"/>
            </w:tcMar>
            <w:vAlign w:val="center"/>
            <w:hideMark/>
          </w:tcPr>
          <w:p w:rsidR="00E60F9C" w:rsidRPr="00C86B25" w:rsidRDefault="006669AA" w:rsidP="006669AA">
            <w:pPr>
              <w:spacing w:before="60" w:after="60" w:line="240" w:lineRule="auto"/>
              <w:jc w:val="center"/>
              <w:rPr>
                <w:rFonts w:ascii="Calibri" w:hAnsi="Calibri"/>
                <w:color w:val="000000"/>
                <w:sz w:val="20"/>
                <w:szCs w:val="20"/>
              </w:rPr>
            </w:pPr>
            <w:r w:rsidRPr="00C86B25">
              <w:rPr>
                <w:rFonts w:ascii="Calibri" w:hAnsi="Calibri"/>
                <w:color w:val="000000"/>
                <w:sz w:val="20"/>
                <w:szCs w:val="20"/>
              </w:rPr>
              <w:t>ATM c</w:t>
            </w:r>
            <w:r w:rsidR="00E60F9C" w:rsidRPr="00C86B25">
              <w:rPr>
                <w:rFonts w:ascii="Calibri" w:hAnsi="Calibri"/>
                <w:color w:val="000000"/>
                <w:sz w:val="20"/>
                <w:szCs w:val="20"/>
              </w:rPr>
              <w:t xml:space="preserve">ash </w:t>
            </w:r>
            <w:r w:rsidRPr="00C86B25">
              <w:rPr>
                <w:rFonts w:ascii="Calibri" w:hAnsi="Calibri"/>
                <w:color w:val="000000"/>
                <w:sz w:val="20"/>
                <w:szCs w:val="20"/>
              </w:rPr>
              <w:t>w</w:t>
            </w:r>
            <w:r w:rsidR="00E60F9C" w:rsidRPr="00C86B25">
              <w:rPr>
                <w:rFonts w:ascii="Calibri" w:hAnsi="Calibri"/>
                <w:color w:val="000000"/>
                <w:sz w:val="20"/>
                <w:szCs w:val="20"/>
              </w:rPr>
              <w:t>ithdrawal</w:t>
            </w:r>
          </w:p>
        </w:tc>
        <w:tc>
          <w:tcPr>
            <w:tcW w:w="1163"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£80.00</w:t>
            </w:r>
          </w:p>
        </w:tc>
      </w:tr>
      <w:tr w:rsidR="00E60F9C" w:rsidRPr="00C86B25" w:rsidTr="006D29A3">
        <w:trPr>
          <w:trHeight w:val="454"/>
        </w:trPr>
        <w:tc>
          <w:tcPr>
            <w:tcW w:w="1308"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09.07.2019</w:t>
            </w:r>
          </w:p>
        </w:tc>
        <w:tc>
          <w:tcPr>
            <w:tcW w:w="1690" w:type="dxa"/>
            <w:tcBorders>
              <w:top w:val="nil"/>
              <w:left w:val="nil"/>
              <w:bottom w:val="nil"/>
              <w:right w:val="nil"/>
            </w:tcBorders>
            <w:vAlign w:val="center"/>
          </w:tcPr>
          <w:p w:rsidR="00E60F9C" w:rsidRPr="00C86B25" w:rsidRDefault="00E60F9C" w:rsidP="00BC33F8">
            <w:pPr>
              <w:spacing w:before="60" w:after="60" w:line="240" w:lineRule="auto"/>
              <w:jc w:val="center"/>
              <w:rPr>
                <w:rFonts w:ascii="Calibri" w:hAnsi="Calibri"/>
                <w:color w:val="000000"/>
                <w:sz w:val="20"/>
                <w:szCs w:val="20"/>
              </w:rPr>
            </w:pPr>
            <w:r w:rsidRPr="00C86B25">
              <w:rPr>
                <w:rFonts w:ascii="Calibri" w:hAnsi="Calibri"/>
                <w:color w:val="000000"/>
                <w:sz w:val="20"/>
                <w:szCs w:val="20"/>
              </w:rPr>
              <w:t>Materials</w:t>
            </w:r>
          </w:p>
        </w:tc>
        <w:tc>
          <w:tcPr>
            <w:tcW w:w="5019"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6669AA">
            <w:pPr>
              <w:spacing w:before="60" w:after="60" w:line="240" w:lineRule="auto"/>
              <w:jc w:val="center"/>
              <w:rPr>
                <w:rFonts w:ascii="Calibri" w:hAnsi="Calibri"/>
                <w:color w:val="000000"/>
                <w:sz w:val="20"/>
                <w:szCs w:val="20"/>
              </w:rPr>
            </w:pPr>
            <w:r w:rsidRPr="00C86B25">
              <w:rPr>
                <w:rFonts w:ascii="Calibri" w:hAnsi="Calibri"/>
                <w:color w:val="000000"/>
                <w:sz w:val="20"/>
                <w:szCs w:val="20"/>
              </w:rPr>
              <w:t>Voltmeter import tax from Switzerland</w:t>
            </w:r>
          </w:p>
        </w:tc>
        <w:tc>
          <w:tcPr>
            <w:tcW w:w="1163"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£30.24</w:t>
            </w:r>
          </w:p>
        </w:tc>
      </w:tr>
      <w:tr w:rsidR="00E60F9C" w:rsidRPr="00C86B25" w:rsidTr="006D29A3">
        <w:trPr>
          <w:trHeight w:val="454"/>
        </w:trPr>
        <w:tc>
          <w:tcPr>
            <w:tcW w:w="1308"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09.10.2019</w:t>
            </w:r>
          </w:p>
        </w:tc>
        <w:tc>
          <w:tcPr>
            <w:tcW w:w="1690" w:type="dxa"/>
            <w:tcBorders>
              <w:top w:val="nil"/>
              <w:left w:val="nil"/>
              <w:bottom w:val="nil"/>
              <w:right w:val="nil"/>
            </w:tcBorders>
            <w:vAlign w:val="center"/>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Travel</w:t>
            </w:r>
          </w:p>
        </w:tc>
        <w:tc>
          <w:tcPr>
            <w:tcW w:w="5019"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Czech Airlines - Prague to Birmingham</w:t>
            </w:r>
          </w:p>
        </w:tc>
        <w:tc>
          <w:tcPr>
            <w:tcW w:w="1163"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£126.79</w:t>
            </w:r>
          </w:p>
        </w:tc>
      </w:tr>
      <w:tr w:rsidR="00E60F9C" w:rsidRPr="00C86B25" w:rsidTr="006D29A3">
        <w:trPr>
          <w:trHeight w:val="454"/>
        </w:trPr>
        <w:tc>
          <w:tcPr>
            <w:tcW w:w="1308"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09.10.2019</w:t>
            </w:r>
          </w:p>
        </w:tc>
        <w:tc>
          <w:tcPr>
            <w:tcW w:w="1690" w:type="dxa"/>
            <w:tcBorders>
              <w:top w:val="nil"/>
              <w:left w:val="nil"/>
              <w:bottom w:val="nil"/>
              <w:right w:val="nil"/>
            </w:tcBorders>
            <w:vAlign w:val="center"/>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Accommodation</w:t>
            </w:r>
          </w:p>
        </w:tc>
        <w:tc>
          <w:tcPr>
            <w:tcW w:w="5019"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E60F9C">
            <w:pPr>
              <w:spacing w:before="60" w:after="60" w:line="240" w:lineRule="auto"/>
              <w:jc w:val="center"/>
              <w:rPr>
                <w:rFonts w:ascii="Calibri" w:hAnsi="Calibri"/>
                <w:color w:val="000000"/>
                <w:sz w:val="20"/>
                <w:szCs w:val="20"/>
              </w:rPr>
            </w:pPr>
            <w:r w:rsidRPr="00C86B25">
              <w:rPr>
                <w:rFonts w:ascii="Calibri" w:hAnsi="Calibri"/>
                <w:color w:val="000000"/>
                <w:sz w:val="20"/>
                <w:szCs w:val="20"/>
              </w:rPr>
              <w:t>National Water Sport</w:t>
            </w:r>
            <w:r w:rsidR="006669AA" w:rsidRPr="00C86B25">
              <w:rPr>
                <w:rFonts w:ascii="Calibri" w:hAnsi="Calibri"/>
                <w:color w:val="000000"/>
                <w:sz w:val="20"/>
                <w:szCs w:val="20"/>
              </w:rPr>
              <w:t>s</w:t>
            </w:r>
            <w:r w:rsidRPr="00C86B25">
              <w:rPr>
                <w:rFonts w:ascii="Calibri" w:hAnsi="Calibri"/>
                <w:color w:val="000000"/>
                <w:sz w:val="20"/>
                <w:szCs w:val="20"/>
              </w:rPr>
              <w:t xml:space="preserve"> Centre</w:t>
            </w:r>
          </w:p>
        </w:tc>
        <w:tc>
          <w:tcPr>
            <w:tcW w:w="1163"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£101.70</w:t>
            </w:r>
          </w:p>
        </w:tc>
      </w:tr>
      <w:tr w:rsidR="00E60F9C" w:rsidRPr="00C86B25" w:rsidTr="006D29A3">
        <w:trPr>
          <w:trHeight w:val="454"/>
        </w:trPr>
        <w:tc>
          <w:tcPr>
            <w:tcW w:w="1308"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21.10.2019</w:t>
            </w:r>
          </w:p>
        </w:tc>
        <w:tc>
          <w:tcPr>
            <w:tcW w:w="1690" w:type="dxa"/>
            <w:tcBorders>
              <w:top w:val="nil"/>
              <w:left w:val="nil"/>
              <w:bottom w:val="nil"/>
              <w:right w:val="nil"/>
            </w:tcBorders>
            <w:vAlign w:val="center"/>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Travel</w:t>
            </w:r>
          </w:p>
        </w:tc>
        <w:tc>
          <w:tcPr>
            <w:tcW w:w="5019"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West Coast Trains - Birmingham to Nottingham</w:t>
            </w:r>
          </w:p>
        </w:tc>
        <w:tc>
          <w:tcPr>
            <w:tcW w:w="1163" w:type="dxa"/>
            <w:tcBorders>
              <w:top w:val="nil"/>
              <w:left w:val="nil"/>
              <w:bottom w:val="nil"/>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£26.15</w:t>
            </w:r>
          </w:p>
        </w:tc>
      </w:tr>
      <w:tr w:rsidR="00E60F9C" w:rsidRPr="00C86B25" w:rsidTr="006D29A3">
        <w:trPr>
          <w:trHeight w:val="454"/>
        </w:trPr>
        <w:tc>
          <w:tcPr>
            <w:tcW w:w="1308" w:type="dxa"/>
            <w:tcBorders>
              <w:top w:val="nil"/>
              <w:left w:val="nil"/>
              <w:bottom w:val="single" w:sz="4" w:space="0" w:color="auto"/>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21.10.2019</w:t>
            </w:r>
          </w:p>
        </w:tc>
        <w:tc>
          <w:tcPr>
            <w:tcW w:w="1690" w:type="dxa"/>
            <w:tcBorders>
              <w:top w:val="nil"/>
              <w:left w:val="nil"/>
              <w:bottom w:val="single" w:sz="4" w:space="0" w:color="auto"/>
              <w:right w:val="nil"/>
            </w:tcBorders>
            <w:vAlign w:val="center"/>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Subsidence</w:t>
            </w:r>
          </w:p>
        </w:tc>
        <w:tc>
          <w:tcPr>
            <w:tcW w:w="5019" w:type="dxa"/>
            <w:tcBorders>
              <w:top w:val="nil"/>
              <w:left w:val="nil"/>
              <w:bottom w:val="single" w:sz="4" w:space="0" w:color="auto"/>
              <w:right w:val="nil"/>
            </w:tcBorders>
            <w:shd w:val="clear" w:color="auto" w:fill="auto"/>
            <w:noWrap/>
            <w:tcMar>
              <w:left w:w="0" w:type="dxa"/>
              <w:right w:w="0" w:type="dxa"/>
            </w:tcMar>
            <w:vAlign w:val="center"/>
            <w:hideMark/>
          </w:tcPr>
          <w:p w:rsidR="00E60F9C" w:rsidRPr="00C86B25" w:rsidRDefault="006669AA" w:rsidP="006669AA">
            <w:pPr>
              <w:spacing w:before="60" w:after="60" w:line="240" w:lineRule="auto"/>
              <w:jc w:val="center"/>
              <w:rPr>
                <w:rFonts w:ascii="Calibri" w:hAnsi="Calibri"/>
                <w:color w:val="000000"/>
                <w:sz w:val="20"/>
                <w:szCs w:val="20"/>
              </w:rPr>
            </w:pPr>
            <w:r w:rsidRPr="00C86B25">
              <w:rPr>
                <w:rFonts w:ascii="Calibri" w:hAnsi="Calibri"/>
                <w:color w:val="000000"/>
                <w:sz w:val="20"/>
                <w:szCs w:val="20"/>
              </w:rPr>
              <w:t>ATM c</w:t>
            </w:r>
            <w:r w:rsidR="00E60F9C" w:rsidRPr="00C86B25">
              <w:rPr>
                <w:rFonts w:ascii="Calibri" w:hAnsi="Calibri"/>
                <w:color w:val="000000"/>
                <w:sz w:val="20"/>
                <w:szCs w:val="20"/>
              </w:rPr>
              <w:t xml:space="preserve">ash </w:t>
            </w:r>
            <w:r w:rsidRPr="00C86B25">
              <w:rPr>
                <w:rFonts w:ascii="Calibri" w:hAnsi="Calibri"/>
                <w:color w:val="000000"/>
                <w:sz w:val="20"/>
                <w:szCs w:val="20"/>
              </w:rPr>
              <w:t>w</w:t>
            </w:r>
            <w:r w:rsidR="00E60F9C" w:rsidRPr="00C86B25">
              <w:rPr>
                <w:rFonts w:ascii="Calibri" w:hAnsi="Calibri"/>
                <w:color w:val="000000"/>
                <w:sz w:val="20"/>
                <w:szCs w:val="20"/>
              </w:rPr>
              <w:t>ithdrawal</w:t>
            </w:r>
          </w:p>
        </w:tc>
        <w:tc>
          <w:tcPr>
            <w:tcW w:w="1163" w:type="dxa"/>
            <w:tcBorders>
              <w:top w:val="nil"/>
              <w:left w:val="nil"/>
              <w:bottom w:val="single" w:sz="4" w:space="0" w:color="auto"/>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hAnsi="Calibri"/>
                <w:color w:val="000000"/>
                <w:sz w:val="20"/>
                <w:szCs w:val="20"/>
              </w:rPr>
            </w:pPr>
            <w:r w:rsidRPr="00C86B25">
              <w:rPr>
                <w:rFonts w:ascii="Calibri" w:hAnsi="Calibri"/>
                <w:color w:val="000000"/>
                <w:sz w:val="20"/>
                <w:szCs w:val="20"/>
              </w:rPr>
              <w:t>£20.00</w:t>
            </w:r>
          </w:p>
        </w:tc>
      </w:tr>
      <w:tr w:rsidR="00E60F9C" w:rsidRPr="00C86B25" w:rsidTr="006D29A3">
        <w:trPr>
          <w:trHeight w:val="454"/>
        </w:trPr>
        <w:tc>
          <w:tcPr>
            <w:tcW w:w="1308" w:type="dxa"/>
            <w:tcBorders>
              <w:top w:val="single" w:sz="4" w:space="0" w:color="auto"/>
              <w:left w:val="nil"/>
              <w:bottom w:val="thickThinSmallGap" w:sz="12" w:space="0" w:color="auto"/>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eastAsia="Times New Roman" w:hAnsi="Calibri" w:cs="Times New Roman"/>
                <w:color w:val="000000"/>
                <w:sz w:val="20"/>
                <w:szCs w:val="20"/>
                <w:lang w:eastAsia="en-GB"/>
              </w:rPr>
            </w:pPr>
          </w:p>
        </w:tc>
        <w:tc>
          <w:tcPr>
            <w:tcW w:w="1690" w:type="dxa"/>
            <w:tcBorders>
              <w:top w:val="single" w:sz="4" w:space="0" w:color="auto"/>
              <w:left w:val="nil"/>
              <w:bottom w:val="thickThinSmallGap" w:sz="12" w:space="0" w:color="auto"/>
              <w:right w:val="nil"/>
            </w:tcBorders>
            <w:vAlign w:val="center"/>
          </w:tcPr>
          <w:p w:rsidR="00E60F9C" w:rsidRPr="00C86B25" w:rsidRDefault="00E60F9C" w:rsidP="00AC5E8F">
            <w:pPr>
              <w:spacing w:before="60" w:after="60" w:line="240" w:lineRule="auto"/>
              <w:jc w:val="center"/>
              <w:rPr>
                <w:rFonts w:ascii="Calibri" w:eastAsia="Times New Roman" w:hAnsi="Calibri" w:cs="Times New Roman"/>
                <w:sz w:val="20"/>
                <w:szCs w:val="20"/>
                <w:lang w:eastAsia="en-GB"/>
              </w:rPr>
            </w:pPr>
          </w:p>
        </w:tc>
        <w:tc>
          <w:tcPr>
            <w:tcW w:w="5019" w:type="dxa"/>
            <w:tcBorders>
              <w:top w:val="single" w:sz="4" w:space="0" w:color="auto"/>
              <w:left w:val="nil"/>
              <w:bottom w:val="thickThinSmallGap" w:sz="12" w:space="0" w:color="auto"/>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eastAsia="Times New Roman" w:hAnsi="Calibri" w:cs="Times New Roman"/>
                <w:sz w:val="20"/>
                <w:szCs w:val="20"/>
                <w:lang w:eastAsia="en-GB"/>
              </w:rPr>
            </w:pPr>
          </w:p>
        </w:tc>
        <w:tc>
          <w:tcPr>
            <w:tcW w:w="1163" w:type="dxa"/>
            <w:tcBorders>
              <w:top w:val="single" w:sz="4" w:space="0" w:color="auto"/>
              <w:left w:val="nil"/>
              <w:bottom w:val="thickThinSmallGap" w:sz="12" w:space="0" w:color="auto"/>
              <w:right w:val="nil"/>
            </w:tcBorders>
            <w:shd w:val="clear" w:color="auto" w:fill="auto"/>
            <w:noWrap/>
            <w:tcMar>
              <w:left w:w="0" w:type="dxa"/>
              <w:right w:w="0" w:type="dxa"/>
            </w:tcMar>
            <w:vAlign w:val="center"/>
            <w:hideMark/>
          </w:tcPr>
          <w:p w:rsidR="00E60F9C" w:rsidRPr="00C86B25" w:rsidRDefault="00E60F9C" w:rsidP="00AC5E8F">
            <w:pPr>
              <w:spacing w:before="60" w:after="60" w:line="240" w:lineRule="auto"/>
              <w:jc w:val="center"/>
              <w:rPr>
                <w:rFonts w:ascii="Calibri" w:eastAsia="Times New Roman" w:hAnsi="Calibri" w:cs="Times New Roman"/>
                <w:b/>
                <w:sz w:val="20"/>
                <w:szCs w:val="20"/>
                <w:lang w:eastAsia="en-GB"/>
              </w:rPr>
            </w:pPr>
            <w:r w:rsidRPr="00C86B25">
              <w:rPr>
                <w:rFonts w:ascii="Calibri" w:eastAsia="Times New Roman" w:hAnsi="Calibri" w:cs="Times New Roman"/>
                <w:b/>
                <w:color w:val="000000"/>
                <w:sz w:val="20"/>
                <w:szCs w:val="20"/>
                <w:lang w:eastAsia="en-GB"/>
              </w:rPr>
              <w:t>£3,008.85</w:t>
            </w:r>
          </w:p>
        </w:tc>
      </w:tr>
    </w:tbl>
    <w:p w:rsidR="00E60F9C" w:rsidRPr="00C86B25" w:rsidRDefault="00E60F9C" w:rsidP="006D29A3">
      <w:pPr>
        <w:spacing w:after="0" w:line="360" w:lineRule="auto"/>
        <w:jc w:val="right"/>
        <w:rPr>
          <w:sz w:val="20"/>
          <w:szCs w:val="20"/>
        </w:rPr>
      </w:pPr>
      <w:r w:rsidRPr="00C86B25">
        <w:rPr>
          <w:sz w:val="20"/>
          <w:szCs w:val="20"/>
        </w:rPr>
        <w:t>* Also includes fuel</w:t>
      </w:r>
    </w:p>
    <w:p w:rsidR="006D29A3" w:rsidRPr="00C86B25" w:rsidRDefault="006D29A3" w:rsidP="006D29A3">
      <w:pPr>
        <w:spacing w:after="0" w:line="360" w:lineRule="auto"/>
        <w:jc w:val="right"/>
        <w:rPr>
          <w:sz w:val="20"/>
          <w:szCs w:val="20"/>
        </w:rPr>
      </w:pPr>
      <w:r w:rsidRPr="00C86B25">
        <w:rPr>
          <w:sz w:val="20"/>
          <w:szCs w:val="20"/>
        </w:rPr>
        <w:t>NSTF - Non Sterling Transaction Fee</w:t>
      </w:r>
    </w:p>
    <w:sectPr w:rsidR="006D29A3" w:rsidRPr="00C86B25" w:rsidSect="002D78ED">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FA8" w:rsidRDefault="001A5FA8" w:rsidP="000C03E8">
      <w:pPr>
        <w:spacing w:after="0" w:line="240" w:lineRule="auto"/>
      </w:pPr>
      <w:r>
        <w:separator/>
      </w:r>
    </w:p>
  </w:endnote>
  <w:endnote w:type="continuationSeparator" w:id="0">
    <w:p w:rsidR="001A5FA8" w:rsidRDefault="001A5FA8" w:rsidP="000C0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EE"/>
    <w:family w:val="auto"/>
    <w:pitch w:val="variable"/>
    <w:sig w:usb0="00000001"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E8" w:rsidRDefault="000C0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684683"/>
      <w:docPartObj>
        <w:docPartGallery w:val="Page Numbers (Bottom of Page)"/>
        <w:docPartUnique/>
      </w:docPartObj>
    </w:sdtPr>
    <w:sdtEndPr>
      <w:rPr>
        <w:color w:val="808080" w:themeColor="background1" w:themeShade="80"/>
        <w:spacing w:val="60"/>
        <w:sz w:val="20"/>
        <w:szCs w:val="20"/>
      </w:rPr>
    </w:sdtEndPr>
    <w:sdtContent>
      <w:p w:rsidR="000C03E8" w:rsidRPr="00261F19" w:rsidRDefault="000C03E8" w:rsidP="000C03E8">
        <w:pPr>
          <w:pStyle w:val="Footer"/>
          <w:pBdr>
            <w:top w:val="single" w:sz="4" w:space="0" w:color="D9D9D9" w:themeColor="background1" w:themeShade="D9"/>
          </w:pBdr>
          <w:jc w:val="right"/>
          <w:rPr>
            <w:sz w:val="20"/>
            <w:szCs w:val="20"/>
          </w:rPr>
        </w:pPr>
        <w:r w:rsidRPr="00261F19">
          <w:rPr>
            <w:sz w:val="20"/>
            <w:szCs w:val="20"/>
          </w:rPr>
          <w:fldChar w:fldCharType="begin"/>
        </w:r>
        <w:r w:rsidRPr="00261F19">
          <w:rPr>
            <w:sz w:val="20"/>
            <w:szCs w:val="20"/>
          </w:rPr>
          <w:instrText xml:space="preserve"> PAGE   \* MERGEFORMAT </w:instrText>
        </w:r>
        <w:r w:rsidRPr="00261F19">
          <w:rPr>
            <w:sz w:val="20"/>
            <w:szCs w:val="20"/>
          </w:rPr>
          <w:fldChar w:fldCharType="separate"/>
        </w:r>
        <w:r w:rsidR="005E5B98">
          <w:rPr>
            <w:noProof/>
            <w:sz w:val="20"/>
            <w:szCs w:val="20"/>
          </w:rPr>
          <w:t>5</w:t>
        </w:r>
        <w:r w:rsidRPr="00261F19">
          <w:rPr>
            <w:noProof/>
            <w:sz w:val="20"/>
            <w:szCs w:val="20"/>
          </w:rPr>
          <w:fldChar w:fldCharType="end"/>
        </w:r>
        <w:r w:rsidRPr="00261F19">
          <w:rPr>
            <w:sz w:val="20"/>
            <w:szCs w:val="20"/>
          </w:rPr>
          <w:t xml:space="preserve"> | </w:t>
        </w:r>
        <w:r w:rsidRPr="00261F19">
          <w:rPr>
            <w:color w:val="808080" w:themeColor="background1" w:themeShade="80"/>
            <w:spacing w:val="60"/>
            <w:sz w:val="20"/>
            <w:szCs w:val="20"/>
          </w:rPr>
          <w:t>Page</w:t>
        </w:r>
      </w:p>
    </w:sdtContent>
  </w:sdt>
  <w:p w:rsidR="000C03E8" w:rsidRDefault="000C03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E8" w:rsidRDefault="000C0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FA8" w:rsidRDefault="001A5FA8" w:rsidP="000C03E8">
      <w:pPr>
        <w:spacing w:after="0" w:line="240" w:lineRule="auto"/>
      </w:pPr>
      <w:r>
        <w:separator/>
      </w:r>
    </w:p>
  </w:footnote>
  <w:footnote w:type="continuationSeparator" w:id="0">
    <w:p w:rsidR="001A5FA8" w:rsidRDefault="001A5FA8" w:rsidP="000C0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E8" w:rsidRDefault="000C0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E8" w:rsidRPr="00261F19" w:rsidRDefault="007D5E38">
    <w:pPr>
      <w:pStyle w:val="Header"/>
      <w:rPr>
        <w:b/>
      </w:rPr>
    </w:pPr>
    <w:r w:rsidRPr="00261F19">
      <w:rPr>
        <w:b/>
      </w:rPr>
      <w:t xml:space="preserve">Financial </w:t>
    </w:r>
    <w:r w:rsidR="000B44D1" w:rsidRPr="00261F19">
      <w:rPr>
        <w:b/>
      </w:rPr>
      <w:t>Report 20</w:t>
    </w:r>
    <w:r w:rsidRPr="00261F19">
      <w:rPr>
        <w:b/>
      </w:rPr>
      <w:t>19</w:t>
    </w:r>
    <w:r w:rsidR="000B44D1" w:rsidRPr="00261F19">
      <w:rPr>
        <w:b/>
      </w:rPr>
      <w:ptab w:relativeTo="margin" w:alignment="center" w:leader="none"/>
    </w:r>
    <w:r w:rsidR="000B44D1" w:rsidRPr="00261F19">
      <w:rPr>
        <w:b/>
      </w:rPr>
      <w:ptab w:relativeTo="margin" w:alignment="right" w:leader="none"/>
    </w:r>
    <w:r w:rsidR="000B44D1" w:rsidRPr="00261F19">
      <w:rPr>
        <w:b/>
        <w:noProof/>
        <w:lang w:eastAsia="en-GB"/>
      </w:rPr>
      <w:t xml:space="preserve"> </w:t>
    </w:r>
    <w:r w:rsidR="000B44D1" w:rsidRPr="00261F19">
      <w:rPr>
        <w:b/>
        <w:noProof/>
        <w:lang w:eastAsia="en-GB"/>
      </w:rPr>
      <w:drawing>
        <wp:anchor distT="0" distB="0" distL="114300" distR="114300" simplePos="0" relativeHeight="251658240" behindDoc="0" locked="0" layoutInCell="1" allowOverlap="1" wp14:anchorId="64967C50" wp14:editId="7C2BEE4A">
          <wp:simplePos x="0" y="0"/>
          <wp:positionH relativeFrom="column">
            <wp:posOffset>4032250</wp:posOffset>
          </wp:positionH>
          <wp:positionV relativeFrom="paragraph">
            <wp:posOffset>-107950</wp:posOffset>
          </wp:positionV>
          <wp:extent cx="1800000" cy="32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terferenc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2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E8" w:rsidRDefault="000C0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A05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AE10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B061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988C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60F3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3A59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42FF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449E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6CAE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8A18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A37335"/>
    <w:multiLevelType w:val="hybridMultilevel"/>
    <w:tmpl w:val="28385610"/>
    <w:lvl w:ilvl="0" w:tplc="BB2CFC94">
      <w:start w:val="1"/>
      <w:numFmt w:val="lowerRoman"/>
      <w:lvlText w:val="%1."/>
      <w:lvlJc w:val="left"/>
      <w:pPr>
        <w:ind w:left="720" w:hanging="360"/>
      </w:pPr>
      <w:rPr>
        <w:rFonts w:ascii="Calibri" w:hAnsi="Calibr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AA31A1"/>
    <w:multiLevelType w:val="hybridMultilevel"/>
    <w:tmpl w:val="37F4E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8C270D"/>
    <w:multiLevelType w:val="hybridMultilevel"/>
    <w:tmpl w:val="C83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A93AA4"/>
    <w:multiLevelType w:val="hybridMultilevel"/>
    <w:tmpl w:val="F9FCD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B8"/>
    <w:rsid w:val="00001E45"/>
    <w:rsid w:val="00003F06"/>
    <w:rsid w:val="0000763B"/>
    <w:rsid w:val="000646AA"/>
    <w:rsid w:val="000818D5"/>
    <w:rsid w:val="0008190A"/>
    <w:rsid w:val="000849E0"/>
    <w:rsid w:val="000B44D1"/>
    <w:rsid w:val="000B7A0E"/>
    <w:rsid w:val="000C03E8"/>
    <w:rsid w:val="000C1873"/>
    <w:rsid w:val="000C46BD"/>
    <w:rsid w:val="000C7AA6"/>
    <w:rsid w:val="000E6658"/>
    <w:rsid w:val="00125692"/>
    <w:rsid w:val="00152443"/>
    <w:rsid w:val="00153985"/>
    <w:rsid w:val="001657BB"/>
    <w:rsid w:val="0017254A"/>
    <w:rsid w:val="001A5FA8"/>
    <w:rsid w:val="001B7916"/>
    <w:rsid w:val="001E3859"/>
    <w:rsid w:val="001E5F65"/>
    <w:rsid w:val="002138B8"/>
    <w:rsid w:val="00261F19"/>
    <w:rsid w:val="002D78ED"/>
    <w:rsid w:val="00342F1A"/>
    <w:rsid w:val="0035464D"/>
    <w:rsid w:val="003B2129"/>
    <w:rsid w:val="003C25FF"/>
    <w:rsid w:val="00403E60"/>
    <w:rsid w:val="00407ECD"/>
    <w:rsid w:val="00411AFD"/>
    <w:rsid w:val="004500ED"/>
    <w:rsid w:val="004655A7"/>
    <w:rsid w:val="004A4C73"/>
    <w:rsid w:val="004F7146"/>
    <w:rsid w:val="005625B9"/>
    <w:rsid w:val="00584634"/>
    <w:rsid w:val="00586343"/>
    <w:rsid w:val="005B68BB"/>
    <w:rsid w:val="005D1B14"/>
    <w:rsid w:val="005E5B98"/>
    <w:rsid w:val="005F361F"/>
    <w:rsid w:val="00607A63"/>
    <w:rsid w:val="00621625"/>
    <w:rsid w:val="00655D27"/>
    <w:rsid w:val="006669AA"/>
    <w:rsid w:val="00673630"/>
    <w:rsid w:val="006D29A3"/>
    <w:rsid w:val="00727C36"/>
    <w:rsid w:val="007568BB"/>
    <w:rsid w:val="0078226A"/>
    <w:rsid w:val="007826A2"/>
    <w:rsid w:val="007942F0"/>
    <w:rsid w:val="007973ED"/>
    <w:rsid w:val="007A2AB4"/>
    <w:rsid w:val="007D5E38"/>
    <w:rsid w:val="007E2605"/>
    <w:rsid w:val="008146CD"/>
    <w:rsid w:val="0082706A"/>
    <w:rsid w:val="00867E64"/>
    <w:rsid w:val="00882B86"/>
    <w:rsid w:val="008A1AEE"/>
    <w:rsid w:val="008B7E2E"/>
    <w:rsid w:val="008E0297"/>
    <w:rsid w:val="008E7413"/>
    <w:rsid w:val="00903021"/>
    <w:rsid w:val="009045F6"/>
    <w:rsid w:val="00905A34"/>
    <w:rsid w:val="009133CF"/>
    <w:rsid w:val="00935913"/>
    <w:rsid w:val="00940471"/>
    <w:rsid w:val="009A40E7"/>
    <w:rsid w:val="00A17E5D"/>
    <w:rsid w:val="00A32E27"/>
    <w:rsid w:val="00A44433"/>
    <w:rsid w:val="00A61F37"/>
    <w:rsid w:val="00A8202A"/>
    <w:rsid w:val="00A95AFB"/>
    <w:rsid w:val="00A96983"/>
    <w:rsid w:val="00AA0485"/>
    <w:rsid w:val="00AE2AEC"/>
    <w:rsid w:val="00AF4B8F"/>
    <w:rsid w:val="00B419FB"/>
    <w:rsid w:val="00B460CF"/>
    <w:rsid w:val="00B51440"/>
    <w:rsid w:val="00B85885"/>
    <w:rsid w:val="00BC33F8"/>
    <w:rsid w:val="00C04A36"/>
    <w:rsid w:val="00C338D8"/>
    <w:rsid w:val="00C62EB6"/>
    <w:rsid w:val="00C6322A"/>
    <w:rsid w:val="00C86B25"/>
    <w:rsid w:val="00C91618"/>
    <w:rsid w:val="00D0073F"/>
    <w:rsid w:val="00D20E0E"/>
    <w:rsid w:val="00D25B67"/>
    <w:rsid w:val="00D617D2"/>
    <w:rsid w:val="00DD7970"/>
    <w:rsid w:val="00E2107C"/>
    <w:rsid w:val="00E471C3"/>
    <w:rsid w:val="00E60F9C"/>
    <w:rsid w:val="00EC26A8"/>
    <w:rsid w:val="00EF0032"/>
    <w:rsid w:val="00F20AF2"/>
    <w:rsid w:val="00F405FD"/>
    <w:rsid w:val="00F74602"/>
    <w:rsid w:val="00F760FF"/>
    <w:rsid w:val="00F91A63"/>
    <w:rsid w:val="00F91EC6"/>
    <w:rsid w:val="00FB0295"/>
    <w:rsid w:val="00FC520E"/>
    <w:rsid w:val="00FF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6D9B74-E2E5-4D55-96F0-6576919B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3E8"/>
    <w:rPr>
      <w:lang w:val="en-GB"/>
    </w:rPr>
  </w:style>
  <w:style w:type="paragraph" w:styleId="Heading1">
    <w:name w:val="heading 1"/>
    <w:basedOn w:val="Normal"/>
    <w:next w:val="Normal"/>
    <w:link w:val="Heading1Char"/>
    <w:uiPriority w:val="9"/>
    <w:qFormat/>
    <w:rsid w:val="008146C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146C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0818D5"/>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138B8"/>
    <w:pPr>
      <w:spacing w:after="0" w:line="240" w:lineRule="auto"/>
    </w:pPr>
    <w:rPr>
      <w:rFonts w:eastAsiaTheme="minorEastAsia"/>
    </w:rPr>
  </w:style>
  <w:style w:type="character" w:customStyle="1" w:styleId="NoSpacingChar">
    <w:name w:val="No Spacing Char"/>
    <w:basedOn w:val="DefaultParagraphFont"/>
    <w:link w:val="NoSpacing"/>
    <w:uiPriority w:val="1"/>
    <w:rsid w:val="002138B8"/>
    <w:rPr>
      <w:rFonts w:eastAsiaTheme="minorEastAsia"/>
    </w:rPr>
  </w:style>
  <w:style w:type="paragraph" w:styleId="BalloonText">
    <w:name w:val="Balloon Text"/>
    <w:basedOn w:val="Normal"/>
    <w:link w:val="BalloonTextChar"/>
    <w:uiPriority w:val="99"/>
    <w:semiHidden/>
    <w:unhideWhenUsed/>
    <w:rsid w:val="00403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E60"/>
    <w:rPr>
      <w:rFonts w:ascii="Tahoma" w:hAnsi="Tahoma" w:cs="Tahoma"/>
      <w:sz w:val="16"/>
      <w:szCs w:val="16"/>
    </w:rPr>
  </w:style>
  <w:style w:type="paragraph" w:styleId="Header">
    <w:name w:val="header"/>
    <w:basedOn w:val="Normal"/>
    <w:link w:val="HeaderChar"/>
    <w:uiPriority w:val="99"/>
    <w:unhideWhenUsed/>
    <w:rsid w:val="000C03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03E8"/>
  </w:style>
  <w:style w:type="paragraph" w:styleId="Footer">
    <w:name w:val="footer"/>
    <w:basedOn w:val="Normal"/>
    <w:link w:val="FooterChar"/>
    <w:uiPriority w:val="99"/>
    <w:unhideWhenUsed/>
    <w:rsid w:val="000C03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03E8"/>
  </w:style>
  <w:style w:type="character" w:customStyle="1" w:styleId="Heading1Char">
    <w:name w:val="Heading 1 Char"/>
    <w:basedOn w:val="DefaultParagraphFont"/>
    <w:link w:val="Heading1"/>
    <w:uiPriority w:val="9"/>
    <w:rsid w:val="008146CD"/>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unhideWhenUsed/>
    <w:qFormat/>
    <w:rsid w:val="008146CD"/>
    <w:pPr>
      <w:spacing w:line="276" w:lineRule="auto"/>
      <w:outlineLvl w:val="9"/>
    </w:pPr>
    <w:rPr>
      <w:lang w:eastAsia="ja-JP"/>
    </w:rPr>
  </w:style>
  <w:style w:type="paragraph" w:styleId="ListParagraph">
    <w:name w:val="List Paragraph"/>
    <w:basedOn w:val="Normal"/>
    <w:uiPriority w:val="34"/>
    <w:qFormat/>
    <w:rsid w:val="008146CD"/>
    <w:pPr>
      <w:ind w:left="720"/>
      <w:contextualSpacing/>
    </w:pPr>
  </w:style>
  <w:style w:type="character" w:customStyle="1" w:styleId="Heading2Char">
    <w:name w:val="Heading 2 Char"/>
    <w:basedOn w:val="DefaultParagraphFont"/>
    <w:link w:val="Heading2"/>
    <w:uiPriority w:val="9"/>
    <w:rsid w:val="008146CD"/>
    <w:rPr>
      <w:rFonts w:asciiTheme="majorHAnsi" w:eastAsiaTheme="majorEastAsia" w:hAnsiTheme="majorHAnsi" w:cstheme="majorBidi"/>
      <w:b/>
      <w:bCs/>
      <w:color w:val="4472C4" w:themeColor="accent1"/>
      <w:sz w:val="26"/>
      <w:szCs w:val="26"/>
    </w:rPr>
  </w:style>
  <w:style w:type="paragraph" w:styleId="TOC2">
    <w:name w:val="toc 2"/>
    <w:basedOn w:val="Normal"/>
    <w:next w:val="Normal"/>
    <w:autoRedefine/>
    <w:uiPriority w:val="39"/>
    <w:unhideWhenUsed/>
    <w:rsid w:val="008146CD"/>
    <w:pPr>
      <w:spacing w:after="100"/>
      <w:ind w:left="220"/>
    </w:pPr>
  </w:style>
  <w:style w:type="character" w:styleId="Hyperlink">
    <w:name w:val="Hyperlink"/>
    <w:basedOn w:val="DefaultParagraphFont"/>
    <w:uiPriority w:val="99"/>
    <w:unhideWhenUsed/>
    <w:rsid w:val="008146CD"/>
    <w:rPr>
      <w:color w:val="0563C1" w:themeColor="hyperlink"/>
      <w:u w:val="single"/>
    </w:rPr>
  </w:style>
  <w:style w:type="paragraph" w:customStyle="1" w:styleId="CitaviBibliography">
    <w:name w:val="Citavi Bibliography"/>
    <w:basedOn w:val="Normal"/>
    <w:rsid w:val="00935913"/>
    <w:pPr>
      <w:spacing w:after="0" w:line="360" w:lineRule="atLeast"/>
      <w:ind w:left="340" w:hanging="340"/>
    </w:pPr>
    <w:rPr>
      <w:rFonts w:ascii="Calibri" w:eastAsia="Times New Roman" w:hAnsi="Calibri" w:cs="Calibri"/>
      <w:sz w:val="20"/>
      <w:szCs w:val="18"/>
    </w:rPr>
  </w:style>
  <w:style w:type="character" w:customStyle="1" w:styleId="Heading3Char">
    <w:name w:val="Heading 3 Char"/>
    <w:basedOn w:val="DefaultParagraphFont"/>
    <w:link w:val="Heading3"/>
    <w:uiPriority w:val="9"/>
    <w:semiHidden/>
    <w:rsid w:val="000818D5"/>
    <w:rPr>
      <w:rFonts w:asciiTheme="majorHAnsi" w:eastAsiaTheme="majorEastAsia" w:hAnsiTheme="majorHAnsi" w:cstheme="majorBidi"/>
      <w:b/>
      <w:bCs/>
      <w:color w:val="4472C4"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04562">
      <w:bodyDiv w:val="1"/>
      <w:marLeft w:val="0"/>
      <w:marRight w:val="0"/>
      <w:marTop w:val="0"/>
      <w:marBottom w:val="0"/>
      <w:divBdr>
        <w:top w:val="none" w:sz="0" w:space="0" w:color="auto"/>
        <w:left w:val="none" w:sz="0" w:space="0" w:color="auto"/>
        <w:bottom w:val="none" w:sz="0" w:space="0" w:color="auto"/>
        <w:right w:val="none" w:sz="0" w:space="0" w:color="auto"/>
      </w:divBdr>
    </w:div>
    <w:div w:id="674961341">
      <w:bodyDiv w:val="1"/>
      <w:marLeft w:val="0"/>
      <w:marRight w:val="0"/>
      <w:marTop w:val="0"/>
      <w:marBottom w:val="0"/>
      <w:divBdr>
        <w:top w:val="none" w:sz="0" w:space="0" w:color="auto"/>
        <w:left w:val="none" w:sz="0" w:space="0" w:color="auto"/>
        <w:bottom w:val="none" w:sz="0" w:space="0" w:color="auto"/>
        <w:right w:val="none" w:sz="0" w:space="0" w:color="auto"/>
      </w:divBdr>
    </w:div>
    <w:div w:id="840855395">
      <w:bodyDiv w:val="1"/>
      <w:marLeft w:val="0"/>
      <w:marRight w:val="0"/>
      <w:marTop w:val="0"/>
      <w:marBottom w:val="0"/>
      <w:divBdr>
        <w:top w:val="none" w:sz="0" w:space="0" w:color="auto"/>
        <w:left w:val="none" w:sz="0" w:space="0" w:color="auto"/>
        <w:bottom w:val="none" w:sz="0" w:space="0" w:color="auto"/>
        <w:right w:val="none" w:sz="0" w:space="0" w:color="auto"/>
      </w:divBdr>
      <w:divsChild>
        <w:div w:id="1190951569">
          <w:marLeft w:val="0"/>
          <w:marRight w:val="0"/>
          <w:marTop w:val="0"/>
          <w:marBottom w:val="0"/>
          <w:divBdr>
            <w:top w:val="none" w:sz="0" w:space="0" w:color="auto"/>
            <w:left w:val="none" w:sz="0" w:space="0" w:color="auto"/>
            <w:bottom w:val="none" w:sz="0" w:space="0" w:color="auto"/>
            <w:right w:val="none" w:sz="0" w:space="0" w:color="auto"/>
          </w:divBdr>
          <w:divsChild>
            <w:div w:id="2083486183">
              <w:marLeft w:val="0"/>
              <w:marRight w:val="0"/>
              <w:marTop w:val="0"/>
              <w:marBottom w:val="0"/>
              <w:divBdr>
                <w:top w:val="none" w:sz="0" w:space="0" w:color="auto"/>
                <w:left w:val="none" w:sz="0" w:space="0" w:color="auto"/>
                <w:bottom w:val="none" w:sz="0" w:space="0" w:color="auto"/>
                <w:right w:val="none" w:sz="0" w:space="0" w:color="auto"/>
              </w:divBdr>
              <w:divsChild>
                <w:div w:id="960764423">
                  <w:marLeft w:val="0"/>
                  <w:marRight w:val="0"/>
                  <w:marTop w:val="0"/>
                  <w:marBottom w:val="0"/>
                  <w:divBdr>
                    <w:top w:val="none" w:sz="0" w:space="0" w:color="auto"/>
                    <w:left w:val="none" w:sz="0" w:space="0" w:color="auto"/>
                    <w:bottom w:val="none" w:sz="0" w:space="0" w:color="auto"/>
                    <w:right w:val="none" w:sz="0" w:space="0" w:color="auto"/>
                  </w:divBdr>
                  <w:divsChild>
                    <w:div w:id="146287100">
                      <w:marLeft w:val="0"/>
                      <w:marRight w:val="0"/>
                      <w:marTop w:val="0"/>
                      <w:marBottom w:val="0"/>
                      <w:divBdr>
                        <w:top w:val="none" w:sz="0" w:space="0" w:color="auto"/>
                        <w:left w:val="none" w:sz="0" w:space="0" w:color="auto"/>
                        <w:bottom w:val="none" w:sz="0" w:space="0" w:color="auto"/>
                        <w:right w:val="none" w:sz="0" w:space="0" w:color="auto"/>
                      </w:divBdr>
                      <w:divsChild>
                        <w:div w:id="1277248343">
                          <w:marLeft w:val="0"/>
                          <w:marRight w:val="0"/>
                          <w:marTop w:val="0"/>
                          <w:marBottom w:val="0"/>
                          <w:divBdr>
                            <w:top w:val="none" w:sz="0" w:space="0" w:color="auto"/>
                            <w:left w:val="none" w:sz="0" w:space="0" w:color="auto"/>
                            <w:bottom w:val="none" w:sz="0" w:space="0" w:color="auto"/>
                            <w:right w:val="none" w:sz="0" w:space="0" w:color="auto"/>
                          </w:divBdr>
                          <w:divsChild>
                            <w:div w:id="97607298">
                              <w:marLeft w:val="0"/>
                              <w:marRight w:val="0"/>
                              <w:marTop w:val="0"/>
                              <w:marBottom w:val="0"/>
                              <w:divBdr>
                                <w:top w:val="none" w:sz="0" w:space="0" w:color="auto"/>
                                <w:left w:val="none" w:sz="0" w:space="0" w:color="auto"/>
                                <w:bottom w:val="none" w:sz="0" w:space="0" w:color="auto"/>
                                <w:right w:val="none" w:sz="0" w:space="0" w:color="auto"/>
                              </w:divBdr>
                              <w:divsChild>
                                <w:div w:id="1152018623">
                                  <w:marLeft w:val="0"/>
                                  <w:marRight w:val="0"/>
                                  <w:marTop w:val="0"/>
                                  <w:marBottom w:val="0"/>
                                  <w:divBdr>
                                    <w:top w:val="none" w:sz="0" w:space="0" w:color="auto"/>
                                    <w:left w:val="none" w:sz="0" w:space="0" w:color="auto"/>
                                    <w:bottom w:val="none" w:sz="0" w:space="0" w:color="auto"/>
                                    <w:right w:val="none" w:sz="0" w:space="0" w:color="auto"/>
                                  </w:divBdr>
                                  <w:divsChild>
                                    <w:div w:id="1145388381">
                                      <w:marLeft w:val="0"/>
                                      <w:marRight w:val="0"/>
                                      <w:marTop w:val="0"/>
                                      <w:marBottom w:val="0"/>
                                      <w:divBdr>
                                        <w:top w:val="none" w:sz="0" w:space="0" w:color="auto"/>
                                        <w:left w:val="none" w:sz="0" w:space="0" w:color="auto"/>
                                        <w:bottom w:val="none" w:sz="0" w:space="0" w:color="auto"/>
                                        <w:right w:val="none" w:sz="0" w:space="0" w:color="auto"/>
                                      </w:divBdr>
                                      <w:divsChild>
                                        <w:div w:id="1579746563">
                                          <w:marLeft w:val="0"/>
                                          <w:marRight w:val="0"/>
                                          <w:marTop w:val="0"/>
                                          <w:marBottom w:val="0"/>
                                          <w:divBdr>
                                            <w:top w:val="none" w:sz="0" w:space="0" w:color="auto"/>
                                            <w:left w:val="none" w:sz="0" w:space="0" w:color="auto"/>
                                            <w:bottom w:val="none" w:sz="0" w:space="0" w:color="auto"/>
                                            <w:right w:val="none" w:sz="0" w:space="0" w:color="auto"/>
                                          </w:divBdr>
                                          <w:divsChild>
                                            <w:div w:id="1813862695">
                                              <w:marLeft w:val="0"/>
                                              <w:marRight w:val="0"/>
                                              <w:marTop w:val="0"/>
                                              <w:marBottom w:val="0"/>
                                              <w:divBdr>
                                                <w:top w:val="none" w:sz="0" w:space="0" w:color="auto"/>
                                                <w:left w:val="none" w:sz="0" w:space="0" w:color="auto"/>
                                                <w:bottom w:val="none" w:sz="0" w:space="0" w:color="auto"/>
                                                <w:right w:val="none" w:sz="0" w:space="0" w:color="auto"/>
                                              </w:divBdr>
                                              <w:divsChild>
                                                <w:div w:id="1037466705">
                                                  <w:marLeft w:val="0"/>
                                                  <w:marRight w:val="0"/>
                                                  <w:marTop w:val="0"/>
                                                  <w:marBottom w:val="0"/>
                                                  <w:divBdr>
                                                    <w:top w:val="none" w:sz="0" w:space="0" w:color="auto"/>
                                                    <w:left w:val="none" w:sz="0" w:space="0" w:color="auto"/>
                                                    <w:bottom w:val="none" w:sz="0" w:space="0" w:color="auto"/>
                                                    <w:right w:val="none" w:sz="0" w:space="0" w:color="auto"/>
                                                  </w:divBdr>
                                                  <w:divsChild>
                                                    <w:div w:id="2373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78142">
      <w:bodyDiv w:val="1"/>
      <w:marLeft w:val="0"/>
      <w:marRight w:val="0"/>
      <w:marTop w:val="0"/>
      <w:marBottom w:val="0"/>
      <w:divBdr>
        <w:top w:val="none" w:sz="0" w:space="0" w:color="auto"/>
        <w:left w:val="none" w:sz="0" w:space="0" w:color="auto"/>
        <w:bottom w:val="none" w:sz="0" w:space="0" w:color="auto"/>
        <w:right w:val="none" w:sz="0" w:space="0" w:color="auto"/>
      </w:divBdr>
    </w:div>
    <w:div w:id="1590308549">
      <w:bodyDiv w:val="1"/>
      <w:marLeft w:val="0"/>
      <w:marRight w:val="0"/>
      <w:marTop w:val="0"/>
      <w:marBottom w:val="0"/>
      <w:divBdr>
        <w:top w:val="none" w:sz="0" w:space="0" w:color="auto"/>
        <w:left w:val="none" w:sz="0" w:space="0" w:color="auto"/>
        <w:bottom w:val="none" w:sz="0" w:space="0" w:color="auto"/>
        <w:right w:val="none" w:sz="0" w:space="0" w:color="auto"/>
      </w:divBdr>
    </w:div>
    <w:div w:id="178507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3D fracture behaviour monitoring has been established across a rock discontinuity in the British Cave Monitoring Centre at Poole’s Cavern thanks to financial support from the British Cave Research Association. In this report the activities undertaken during the course of the project and the results obtained during the course of the project are summarised while the financial costs incurred during the course of the project are detailed. A final project report will be submitted in 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B245C1-434E-43C1-A79D-6E26FB1A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2044</Words>
  <Characters>11652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Financial Report 2019</vt:lpstr>
    </vt:vector>
  </TitlesOfParts>
  <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Report 2019</dc:title>
  <dc:subject>3D fracture behaviour monitoring presented online in real time using Spinterference</dc:subject>
  <dc:creator>Matt Rowberry</dc:creator>
  <cp:lastModifiedBy>Smith, Andrew C.</cp:lastModifiedBy>
  <cp:revision>2</cp:revision>
  <cp:lastPrinted>2020-01-11T15:54:00Z</cp:lastPrinted>
  <dcterms:created xsi:type="dcterms:W3CDTF">2020-01-31T12:08:00Z</dcterms:created>
  <dcterms:modified xsi:type="dcterms:W3CDTF">2020-01-31T12:08:00Z</dcterms:modified>
  <cp:category>Department of Engineering Geology, Institute of Rock Structure &amp; Mechanics, Czech Academy of Sciences, V Holešovičkách 41, 182 09 Prague 8, Czech Republic</cp:category>
</cp:coreProperties>
</file>